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2743" w14:textId="6ACFEA38" w:rsidR="00DF72A3" w:rsidRDefault="007626DE" w:rsidP="007626DE">
      <w:pPr>
        <w:pStyle w:val="Title"/>
        <w:ind w:left="5040" w:firstLine="720"/>
        <w:jc w:val="left"/>
        <w:rPr>
          <w:rFonts w:asciiTheme="minorHAnsi" w:eastAsia="Times New Roman" w:hAnsiTheme="minorHAnsi" w:cstheme="minorHAnsi"/>
          <w:bCs/>
          <w:color w:val="404040" w:themeColor="text1" w:themeTint="BF"/>
          <w:spacing w:val="0"/>
          <w:kern w:val="0"/>
          <w:position w:val="-1"/>
          <w:sz w:val="72"/>
          <w:szCs w:val="72"/>
          <w:lang w:val="en-US"/>
        </w:rPr>
      </w:pPr>
      <w:r>
        <w:rPr>
          <w:noProof/>
        </w:rPr>
        <w:drawing>
          <wp:inline distT="0" distB="0" distL="0" distR="0" wp14:anchorId="455953AA" wp14:editId="339EB778">
            <wp:extent cx="2527136" cy="647602"/>
            <wp:effectExtent l="0" t="0" r="6985" b="635"/>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1294" cy="656355"/>
                    </a:xfrm>
                    <a:prstGeom prst="rect">
                      <a:avLst/>
                    </a:prstGeom>
                  </pic:spPr>
                </pic:pic>
              </a:graphicData>
            </a:graphic>
          </wp:inline>
        </w:drawing>
      </w:r>
    </w:p>
    <w:p w14:paraId="32458923" w14:textId="50CE3B86" w:rsidR="008C6FB5" w:rsidRDefault="008C6FB5" w:rsidP="007626DE">
      <w:pPr>
        <w:pStyle w:val="Title"/>
        <w:ind w:left="5760" w:firstLine="720"/>
        <w:jc w:val="left"/>
        <w:rPr>
          <w:rFonts w:asciiTheme="minorHAnsi" w:eastAsia="Times New Roman" w:hAnsiTheme="minorHAnsi" w:cstheme="minorHAnsi"/>
          <w:bCs/>
          <w:color w:val="404040" w:themeColor="text1" w:themeTint="BF"/>
          <w:spacing w:val="0"/>
          <w:kern w:val="0"/>
          <w:position w:val="-1"/>
          <w:sz w:val="72"/>
          <w:szCs w:val="72"/>
          <w:lang w:val="en-US"/>
        </w:rPr>
      </w:pPr>
    </w:p>
    <w:p w14:paraId="3497BD1F" w14:textId="77777777" w:rsidR="007626DE" w:rsidRDefault="007626DE" w:rsidP="001E6520">
      <w:pPr>
        <w:pStyle w:val="Title"/>
        <w:jc w:val="left"/>
        <w:rPr>
          <w:rFonts w:asciiTheme="minorHAnsi" w:eastAsia="Times New Roman" w:hAnsiTheme="minorHAnsi" w:cstheme="minorHAnsi"/>
          <w:bCs/>
          <w:color w:val="404040" w:themeColor="text1" w:themeTint="BF"/>
          <w:spacing w:val="0"/>
          <w:kern w:val="0"/>
          <w:position w:val="-1"/>
          <w:sz w:val="72"/>
          <w:szCs w:val="72"/>
          <w:lang w:val="en-US"/>
        </w:rPr>
      </w:pPr>
    </w:p>
    <w:p w14:paraId="06A79B27" w14:textId="0A2E7DAB" w:rsidR="001E6520" w:rsidRPr="001E6520" w:rsidRDefault="001E6520" w:rsidP="001E6520">
      <w:pPr>
        <w:pStyle w:val="Title"/>
        <w:jc w:val="left"/>
        <w:rPr>
          <w:rFonts w:asciiTheme="minorHAnsi" w:eastAsia="Times New Roman" w:hAnsiTheme="minorHAnsi" w:cstheme="minorHAnsi"/>
          <w:bCs/>
          <w:color w:val="404040" w:themeColor="text1" w:themeTint="BF"/>
          <w:spacing w:val="0"/>
          <w:kern w:val="0"/>
          <w:position w:val="-1"/>
          <w:sz w:val="72"/>
          <w:szCs w:val="72"/>
          <w:lang w:val="en-US"/>
        </w:rPr>
      </w:pPr>
      <w:r w:rsidRPr="001E6520">
        <w:rPr>
          <w:rFonts w:asciiTheme="minorHAnsi" w:eastAsia="Times New Roman" w:hAnsiTheme="minorHAnsi" w:cstheme="minorHAnsi"/>
          <w:bCs/>
          <w:color w:val="404040" w:themeColor="text1" w:themeTint="BF"/>
          <w:spacing w:val="0"/>
          <w:kern w:val="0"/>
          <w:position w:val="-1"/>
          <w:sz w:val="72"/>
          <w:szCs w:val="72"/>
          <w:lang w:val="en-US"/>
        </w:rPr>
        <w:t>UNIVERSITY OF STIRLING</w:t>
      </w:r>
    </w:p>
    <w:p w14:paraId="66F7E176" w14:textId="77777777" w:rsidR="001E6520" w:rsidRPr="001E6520" w:rsidRDefault="001E6520" w:rsidP="001E6520">
      <w:pPr>
        <w:rPr>
          <w:color w:val="404040" w:themeColor="text1" w:themeTint="BF"/>
          <w:lang w:val="en-US"/>
        </w:rPr>
      </w:pPr>
    </w:p>
    <w:p w14:paraId="4E9151D8" w14:textId="77777777" w:rsidR="001E6520" w:rsidRPr="001E6520" w:rsidRDefault="001E6520" w:rsidP="001E6520">
      <w:pPr>
        <w:rPr>
          <w:rFonts w:eastAsia="Times New Roman" w:cstheme="minorHAnsi"/>
          <w:b/>
          <w:bCs/>
          <w:color w:val="404040" w:themeColor="text1" w:themeTint="BF"/>
          <w:position w:val="-1"/>
          <w:sz w:val="72"/>
          <w:szCs w:val="72"/>
          <w:lang w:val="en-US"/>
        </w:rPr>
      </w:pPr>
    </w:p>
    <w:p w14:paraId="37FDAD7A" w14:textId="1F01B3DE" w:rsidR="001E6520" w:rsidRPr="001E6520" w:rsidRDefault="001E6520" w:rsidP="001E6520">
      <w:pPr>
        <w:pStyle w:val="Title"/>
        <w:jc w:val="left"/>
        <w:rPr>
          <w:rFonts w:asciiTheme="minorHAnsi" w:eastAsia="Times New Roman" w:hAnsiTheme="minorHAnsi" w:cstheme="minorHAnsi"/>
          <w:bCs/>
          <w:color w:val="404040" w:themeColor="text1" w:themeTint="BF"/>
          <w:spacing w:val="0"/>
          <w:kern w:val="0"/>
          <w:position w:val="-1"/>
          <w:sz w:val="72"/>
          <w:szCs w:val="72"/>
          <w:lang w:val="en-US"/>
        </w:rPr>
      </w:pPr>
      <w:r w:rsidRPr="001E6520">
        <w:rPr>
          <w:rFonts w:eastAsia="Times New Roman" w:cstheme="minorHAnsi"/>
          <w:bCs/>
          <w:color w:val="404040" w:themeColor="text1" w:themeTint="BF"/>
          <w:position w:val="-1"/>
          <w:sz w:val="72"/>
          <w:szCs w:val="72"/>
          <w:lang w:val="en-US"/>
        </w:rPr>
        <w:t xml:space="preserve">POLICY AND PROCEDURE ON </w:t>
      </w:r>
      <w:r w:rsidR="007414D3">
        <w:rPr>
          <w:rFonts w:eastAsia="Times New Roman" w:cstheme="minorHAnsi"/>
          <w:bCs/>
          <w:color w:val="404040" w:themeColor="text1" w:themeTint="BF"/>
          <w:position w:val="-1"/>
          <w:sz w:val="72"/>
          <w:szCs w:val="72"/>
          <w:lang w:val="en-US"/>
        </w:rPr>
        <w:t>QUALITY MONITORING AND EVALUATION</w:t>
      </w:r>
    </w:p>
    <w:p w14:paraId="24119BBD" w14:textId="33C22FEB" w:rsidR="001E6520" w:rsidRDefault="001E6520" w:rsidP="001E6520"/>
    <w:p w14:paraId="529068B1" w14:textId="603DC390" w:rsidR="001E6520" w:rsidRDefault="001E6520" w:rsidP="001E6520"/>
    <w:p w14:paraId="3C845E67" w14:textId="3D266F42" w:rsidR="00EB50BF" w:rsidRDefault="00EB50BF" w:rsidP="001E6520"/>
    <w:p w14:paraId="068708A7" w14:textId="0563A1B3" w:rsidR="00EB50BF" w:rsidRDefault="00EB50BF" w:rsidP="001E6520"/>
    <w:p w14:paraId="5A3EF7E3" w14:textId="3CB8B195" w:rsidR="00EB50BF" w:rsidRDefault="00EB50BF" w:rsidP="001E6520"/>
    <w:p w14:paraId="2050681E" w14:textId="77777777" w:rsidR="00462397" w:rsidRDefault="00462397" w:rsidP="00462397">
      <w:pPr>
        <w:spacing w:after="0" w:line="240" w:lineRule="auto"/>
        <w:rPr>
          <w:rFonts w:eastAsia="Times New Roman" w:cstheme="minorHAnsi"/>
          <w:b/>
          <w:bCs/>
          <w:position w:val="-1"/>
          <w:sz w:val="32"/>
          <w:szCs w:val="32"/>
          <w:lang w:val="en-US"/>
        </w:rPr>
      </w:pPr>
    </w:p>
    <w:p w14:paraId="47B70D8E" w14:textId="77777777" w:rsidR="00462397" w:rsidRPr="00ED7BCF" w:rsidRDefault="00462397" w:rsidP="00462397">
      <w:pPr>
        <w:spacing w:after="0" w:line="240" w:lineRule="auto"/>
        <w:rPr>
          <w:rFonts w:eastAsia="Times New Roman" w:cstheme="minorHAnsi"/>
          <w:b/>
          <w:bCs/>
          <w:position w:val="-1"/>
          <w:sz w:val="32"/>
          <w:szCs w:val="32"/>
          <w:lang w:val="en-US"/>
        </w:rPr>
      </w:pPr>
      <w:r w:rsidRPr="00ED7BCF">
        <w:rPr>
          <w:rFonts w:eastAsia="Times New Roman" w:cstheme="minorHAnsi"/>
          <w:b/>
          <w:bCs/>
          <w:position w:val="-1"/>
          <w:sz w:val="32"/>
          <w:szCs w:val="32"/>
          <w:lang w:val="en-US"/>
        </w:rPr>
        <w:t>VERSION CONTROL STATEMENT</w:t>
      </w:r>
    </w:p>
    <w:p w14:paraId="548FE570" w14:textId="77777777" w:rsidR="00462397" w:rsidRPr="00181385" w:rsidRDefault="00462397" w:rsidP="00462397">
      <w:pPr>
        <w:spacing w:after="0" w:line="240" w:lineRule="auto"/>
        <w:rPr>
          <w:b/>
          <w:sz w:val="24"/>
          <w:szCs w:val="24"/>
          <w:lang w:val="en"/>
        </w:rPr>
      </w:pPr>
    </w:p>
    <w:tbl>
      <w:tblPr>
        <w:tblStyle w:val="TableGrid"/>
        <w:tblW w:w="0" w:type="auto"/>
        <w:tblLook w:val="04A0" w:firstRow="1" w:lastRow="0" w:firstColumn="1" w:lastColumn="0" w:noHBand="0" w:noVBand="1"/>
      </w:tblPr>
      <w:tblGrid>
        <w:gridCol w:w="2547"/>
        <w:gridCol w:w="2977"/>
        <w:gridCol w:w="3492"/>
      </w:tblGrid>
      <w:tr w:rsidR="00462397" w:rsidRPr="00A450B9" w14:paraId="684AB589" w14:textId="77777777" w:rsidTr="38315EEF">
        <w:tc>
          <w:tcPr>
            <w:tcW w:w="2547" w:type="dxa"/>
          </w:tcPr>
          <w:p w14:paraId="2F61E643" w14:textId="77777777" w:rsidR="00462397" w:rsidRPr="00A450B9" w:rsidRDefault="00462397" w:rsidP="00462397">
            <w:pPr>
              <w:spacing w:after="0" w:line="240" w:lineRule="auto"/>
              <w:rPr>
                <w:b/>
              </w:rPr>
            </w:pPr>
            <w:r w:rsidRPr="00A450B9">
              <w:rPr>
                <w:b/>
              </w:rPr>
              <w:t>Version No</w:t>
            </w:r>
            <w:r>
              <w:rPr>
                <w:b/>
              </w:rPr>
              <w:t>:</w:t>
            </w:r>
          </w:p>
        </w:tc>
        <w:tc>
          <w:tcPr>
            <w:tcW w:w="6469" w:type="dxa"/>
            <w:gridSpan w:val="2"/>
          </w:tcPr>
          <w:p w14:paraId="59CB5362" w14:textId="1F8FBD65" w:rsidR="00462397" w:rsidRPr="00A450B9" w:rsidRDefault="007414D3" w:rsidP="00462397">
            <w:pPr>
              <w:spacing w:after="0" w:line="240" w:lineRule="auto"/>
            </w:pPr>
            <w:r>
              <w:t>2.0</w:t>
            </w:r>
          </w:p>
        </w:tc>
      </w:tr>
      <w:tr w:rsidR="00462397" w:rsidRPr="00A450B9" w14:paraId="52E34398" w14:textId="77777777" w:rsidTr="38315EEF">
        <w:tc>
          <w:tcPr>
            <w:tcW w:w="2547" w:type="dxa"/>
          </w:tcPr>
          <w:p w14:paraId="152327EE" w14:textId="5506E2CB" w:rsidR="00462397" w:rsidRPr="00A450B9" w:rsidRDefault="007414D3" w:rsidP="00462397">
            <w:pPr>
              <w:spacing w:after="0" w:line="240" w:lineRule="auto"/>
              <w:rPr>
                <w:b/>
              </w:rPr>
            </w:pPr>
            <w:r>
              <w:rPr>
                <w:b/>
              </w:rPr>
              <w:t>Owner</w:t>
            </w:r>
            <w:r w:rsidR="00462397">
              <w:rPr>
                <w:b/>
              </w:rPr>
              <w:t>:</w:t>
            </w:r>
          </w:p>
        </w:tc>
        <w:tc>
          <w:tcPr>
            <w:tcW w:w="6469" w:type="dxa"/>
            <w:gridSpan w:val="2"/>
          </w:tcPr>
          <w:p w14:paraId="00BFA32A" w14:textId="3E74DD9D" w:rsidR="00462397" w:rsidRDefault="007414D3" w:rsidP="00462397">
            <w:pPr>
              <w:spacing w:after="0" w:line="240" w:lineRule="auto"/>
            </w:pPr>
            <w:r>
              <w:t>Academic Registrar</w:t>
            </w:r>
            <w:r w:rsidR="004D4F60">
              <w:t xml:space="preserve"> (</w:t>
            </w:r>
            <w:hyperlink r:id="rId12" w:history="1">
              <w:r w:rsidR="004D4F60" w:rsidRPr="00E50C6B">
                <w:rPr>
                  <w:rStyle w:val="Hyperlink"/>
                </w:rPr>
                <w:t>academic.registrar@stir.ac.uk</w:t>
              </w:r>
            </w:hyperlink>
            <w:r w:rsidR="004D4F60">
              <w:t xml:space="preserve">) </w:t>
            </w:r>
          </w:p>
        </w:tc>
      </w:tr>
      <w:tr w:rsidR="00462397" w:rsidRPr="00A450B9" w14:paraId="7469EA12" w14:textId="77777777" w:rsidTr="38315EEF">
        <w:tc>
          <w:tcPr>
            <w:tcW w:w="2547" w:type="dxa"/>
          </w:tcPr>
          <w:p w14:paraId="73A5070B" w14:textId="44A51A19" w:rsidR="00462397" w:rsidRPr="00A450B9" w:rsidRDefault="007414D3" w:rsidP="00462397">
            <w:pPr>
              <w:spacing w:after="0" w:line="240" w:lineRule="auto"/>
              <w:rPr>
                <w:b/>
              </w:rPr>
            </w:pPr>
            <w:r>
              <w:rPr>
                <w:b/>
              </w:rPr>
              <w:t>Date of implementation:</w:t>
            </w:r>
          </w:p>
        </w:tc>
        <w:tc>
          <w:tcPr>
            <w:tcW w:w="6469" w:type="dxa"/>
            <w:gridSpan w:val="2"/>
          </w:tcPr>
          <w:p w14:paraId="1D0C1AB9" w14:textId="36DCA1CB" w:rsidR="00462397" w:rsidRPr="00A450B9" w:rsidRDefault="6F2108EC" w:rsidP="00462397">
            <w:pPr>
              <w:spacing w:after="0" w:line="240" w:lineRule="auto"/>
            </w:pPr>
            <w:r>
              <w:t>12 September 2022</w:t>
            </w:r>
          </w:p>
        </w:tc>
      </w:tr>
      <w:tr w:rsidR="00AE01FC" w:rsidRPr="00A450B9" w14:paraId="0318A6D8" w14:textId="77777777" w:rsidTr="004D4F60">
        <w:trPr>
          <w:trHeight w:val="270"/>
        </w:trPr>
        <w:tc>
          <w:tcPr>
            <w:tcW w:w="2547" w:type="dxa"/>
            <w:vMerge w:val="restart"/>
          </w:tcPr>
          <w:p w14:paraId="38BDE875" w14:textId="01526D7C" w:rsidR="00AE01FC" w:rsidRPr="00A450B9" w:rsidRDefault="00AE01FC" w:rsidP="00AE01FC">
            <w:pPr>
              <w:spacing w:after="0" w:line="240" w:lineRule="auto"/>
              <w:rPr>
                <w:b/>
              </w:rPr>
            </w:pPr>
            <w:r>
              <w:rPr>
                <w:b/>
              </w:rPr>
              <w:t xml:space="preserve">Amendments since </w:t>
            </w:r>
            <w:r w:rsidR="007414D3">
              <w:rPr>
                <w:b/>
              </w:rPr>
              <w:t>implementation</w:t>
            </w:r>
            <w:r>
              <w:rPr>
                <w:b/>
              </w:rPr>
              <w:t>:</w:t>
            </w:r>
          </w:p>
        </w:tc>
        <w:tc>
          <w:tcPr>
            <w:tcW w:w="2977" w:type="dxa"/>
          </w:tcPr>
          <w:p w14:paraId="688BB308" w14:textId="77777777" w:rsidR="00AE01FC" w:rsidRPr="00ED7BCF" w:rsidRDefault="00AE01FC" w:rsidP="00AE01FC">
            <w:pPr>
              <w:spacing w:after="0" w:line="240" w:lineRule="auto"/>
              <w:rPr>
                <w:b/>
              </w:rPr>
            </w:pPr>
            <w:r w:rsidRPr="00ED7BCF">
              <w:rPr>
                <w:b/>
              </w:rPr>
              <w:t>Detail of revision</w:t>
            </w:r>
          </w:p>
        </w:tc>
        <w:tc>
          <w:tcPr>
            <w:tcW w:w="3492" w:type="dxa"/>
          </w:tcPr>
          <w:p w14:paraId="4FD03F49" w14:textId="0F43A4C8" w:rsidR="00AE01FC" w:rsidRPr="00ED7BCF" w:rsidRDefault="004D4F60" w:rsidP="00AE01FC">
            <w:pPr>
              <w:spacing w:after="0" w:line="240" w:lineRule="auto"/>
              <w:rPr>
                <w:b/>
              </w:rPr>
            </w:pPr>
            <w:r w:rsidRPr="00ED7BCF">
              <w:rPr>
                <w:b/>
              </w:rPr>
              <w:t>Date of revision</w:t>
            </w:r>
          </w:p>
        </w:tc>
      </w:tr>
      <w:tr w:rsidR="00AE01FC" w:rsidRPr="00A450B9" w14:paraId="2EBC42C0" w14:textId="77777777" w:rsidTr="004D4F60">
        <w:trPr>
          <w:trHeight w:val="270"/>
        </w:trPr>
        <w:tc>
          <w:tcPr>
            <w:tcW w:w="2547" w:type="dxa"/>
            <w:vMerge/>
          </w:tcPr>
          <w:p w14:paraId="63C55F58" w14:textId="77777777" w:rsidR="00AE01FC" w:rsidRDefault="00AE01FC" w:rsidP="00AE01FC">
            <w:pPr>
              <w:spacing w:after="0" w:line="240" w:lineRule="auto"/>
              <w:rPr>
                <w:b/>
              </w:rPr>
            </w:pPr>
          </w:p>
        </w:tc>
        <w:tc>
          <w:tcPr>
            <w:tcW w:w="2977" w:type="dxa"/>
          </w:tcPr>
          <w:p w14:paraId="25E799A0" w14:textId="77777777" w:rsidR="00AE01FC" w:rsidRPr="00A450B9" w:rsidRDefault="00AE01FC" w:rsidP="00AE01FC">
            <w:pPr>
              <w:spacing w:after="0" w:line="240" w:lineRule="auto"/>
            </w:pPr>
          </w:p>
        </w:tc>
        <w:tc>
          <w:tcPr>
            <w:tcW w:w="3492" w:type="dxa"/>
          </w:tcPr>
          <w:p w14:paraId="51832200" w14:textId="77777777" w:rsidR="00AE01FC" w:rsidRPr="00A450B9" w:rsidRDefault="00AE01FC" w:rsidP="00AE01FC">
            <w:pPr>
              <w:spacing w:after="0" w:line="240" w:lineRule="auto"/>
            </w:pPr>
          </w:p>
        </w:tc>
      </w:tr>
      <w:tr w:rsidR="00AE01FC" w:rsidRPr="00A450B9" w14:paraId="7249D96D" w14:textId="77777777" w:rsidTr="004D4F60">
        <w:trPr>
          <w:trHeight w:val="270"/>
        </w:trPr>
        <w:tc>
          <w:tcPr>
            <w:tcW w:w="2547" w:type="dxa"/>
            <w:vMerge/>
          </w:tcPr>
          <w:p w14:paraId="0759970C" w14:textId="77777777" w:rsidR="00AE01FC" w:rsidRDefault="00AE01FC" w:rsidP="00AE01FC">
            <w:pPr>
              <w:spacing w:after="0" w:line="240" w:lineRule="auto"/>
              <w:rPr>
                <w:b/>
              </w:rPr>
            </w:pPr>
          </w:p>
        </w:tc>
        <w:tc>
          <w:tcPr>
            <w:tcW w:w="2977" w:type="dxa"/>
          </w:tcPr>
          <w:p w14:paraId="13044BED" w14:textId="77777777" w:rsidR="00AE01FC" w:rsidRPr="00A450B9" w:rsidRDefault="00AE01FC" w:rsidP="00AE01FC">
            <w:pPr>
              <w:spacing w:after="0" w:line="240" w:lineRule="auto"/>
            </w:pPr>
          </w:p>
        </w:tc>
        <w:tc>
          <w:tcPr>
            <w:tcW w:w="3492" w:type="dxa"/>
          </w:tcPr>
          <w:p w14:paraId="363D8CA8" w14:textId="77777777" w:rsidR="00AE01FC" w:rsidRPr="00A450B9" w:rsidRDefault="00AE01FC" w:rsidP="00AE01FC">
            <w:pPr>
              <w:spacing w:after="0" w:line="240" w:lineRule="auto"/>
            </w:pPr>
          </w:p>
        </w:tc>
      </w:tr>
      <w:tr w:rsidR="00AE01FC" w:rsidRPr="00A450B9" w14:paraId="1EA192FC" w14:textId="77777777" w:rsidTr="004D4F60">
        <w:trPr>
          <w:trHeight w:val="270"/>
        </w:trPr>
        <w:tc>
          <w:tcPr>
            <w:tcW w:w="2547" w:type="dxa"/>
            <w:vMerge/>
          </w:tcPr>
          <w:p w14:paraId="162726FB" w14:textId="77777777" w:rsidR="00AE01FC" w:rsidRDefault="00AE01FC" w:rsidP="00AE01FC">
            <w:pPr>
              <w:spacing w:after="0" w:line="240" w:lineRule="auto"/>
              <w:rPr>
                <w:b/>
              </w:rPr>
            </w:pPr>
          </w:p>
        </w:tc>
        <w:tc>
          <w:tcPr>
            <w:tcW w:w="2977" w:type="dxa"/>
          </w:tcPr>
          <w:p w14:paraId="770F32BD" w14:textId="77777777" w:rsidR="00AE01FC" w:rsidRPr="00A450B9" w:rsidRDefault="00AE01FC" w:rsidP="00AE01FC">
            <w:pPr>
              <w:spacing w:after="0" w:line="240" w:lineRule="auto"/>
            </w:pPr>
          </w:p>
        </w:tc>
        <w:tc>
          <w:tcPr>
            <w:tcW w:w="3492" w:type="dxa"/>
          </w:tcPr>
          <w:p w14:paraId="19243F6A" w14:textId="77777777" w:rsidR="00AE01FC" w:rsidRPr="00A450B9" w:rsidRDefault="00AE01FC" w:rsidP="00AE01FC">
            <w:pPr>
              <w:spacing w:after="0" w:line="240" w:lineRule="auto"/>
            </w:pPr>
          </w:p>
        </w:tc>
      </w:tr>
      <w:tr w:rsidR="00AE01FC" w:rsidRPr="00A450B9" w14:paraId="2796B6D7" w14:textId="77777777" w:rsidTr="004D4F60">
        <w:trPr>
          <w:trHeight w:val="270"/>
        </w:trPr>
        <w:tc>
          <w:tcPr>
            <w:tcW w:w="2547" w:type="dxa"/>
            <w:vMerge/>
          </w:tcPr>
          <w:p w14:paraId="3790A058" w14:textId="77777777" w:rsidR="00AE01FC" w:rsidRDefault="00AE01FC" w:rsidP="00AE01FC">
            <w:pPr>
              <w:spacing w:after="0" w:line="240" w:lineRule="auto"/>
              <w:rPr>
                <w:b/>
              </w:rPr>
            </w:pPr>
          </w:p>
        </w:tc>
        <w:tc>
          <w:tcPr>
            <w:tcW w:w="2977" w:type="dxa"/>
          </w:tcPr>
          <w:p w14:paraId="42641ECB" w14:textId="77777777" w:rsidR="00AE01FC" w:rsidRPr="00A450B9" w:rsidRDefault="00AE01FC" w:rsidP="00AE01FC">
            <w:pPr>
              <w:spacing w:after="0" w:line="240" w:lineRule="auto"/>
            </w:pPr>
          </w:p>
        </w:tc>
        <w:tc>
          <w:tcPr>
            <w:tcW w:w="3492" w:type="dxa"/>
          </w:tcPr>
          <w:p w14:paraId="53596579" w14:textId="77777777" w:rsidR="00AE01FC" w:rsidRPr="00A450B9" w:rsidRDefault="00AE01FC" w:rsidP="00AE01FC">
            <w:pPr>
              <w:spacing w:after="0" w:line="240" w:lineRule="auto"/>
            </w:pPr>
          </w:p>
        </w:tc>
      </w:tr>
    </w:tbl>
    <w:p w14:paraId="05F1AC5A" w14:textId="77777777" w:rsidR="001B353E" w:rsidRDefault="001B353E" w:rsidP="001B353E">
      <w:pPr>
        <w:spacing w:after="0" w:line="240" w:lineRule="auto"/>
        <w:rPr>
          <w:rFonts w:ascii="Calibri" w:eastAsia="Times New Roman" w:hAnsi="Calibri" w:cs="Calibri"/>
          <w:bCs/>
        </w:rPr>
      </w:pPr>
    </w:p>
    <w:p w14:paraId="4BA87BF2" w14:textId="5BCC916B" w:rsidR="006F1D31" w:rsidRDefault="006F1D31">
      <w:pPr>
        <w:spacing w:after="160" w:line="259" w:lineRule="auto"/>
        <w:rPr>
          <w:rFonts w:ascii="Calibri" w:eastAsia="Times New Roman" w:hAnsi="Calibri" w:cs="Calibri"/>
          <w:bCs/>
        </w:rPr>
      </w:pPr>
    </w:p>
    <w:p w14:paraId="72754376" w14:textId="17AA0792" w:rsidR="007414D3" w:rsidRDefault="007414D3">
      <w:pPr>
        <w:spacing w:after="160" w:line="259" w:lineRule="auto"/>
        <w:rPr>
          <w:rFonts w:ascii="Calibri" w:eastAsia="Times New Roman" w:hAnsi="Calibri" w:cs="Calibri"/>
          <w:bCs/>
        </w:rPr>
      </w:pPr>
    </w:p>
    <w:p w14:paraId="1E46AC6C" w14:textId="77777777" w:rsidR="007414D3" w:rsidRPr="00FA71D8" w:rsidRDefault="007414D3" w:rsidP="007414D3">
      <w:pPr>
        <w:pStyle w:val="Heading1"/>
        <w:spacing w:before="0"/>
        <w:jc w:val="both"/>
        <w:rPr>
          <w:rFonts w:eastAsia="Times New Roman"/>
          <w:b/>
          <w:color w:val="404040" w:themeColor="text1" w:themeTint="BF"/>
          <w:u w:val="single"/>
        </w:rPr>
      </w:pPr>
      <w:r w:rsidRPr="00FA71D8">
        <w:rPr>
          <w:rFonts w:eastAsia="Times New Roman"/>
          <w:b/>
          <w:color w:val="404040" w:themeColor="text1" w:themeTint="BF"/>
          <w:u w:val="single"/>
        </w:rPr>
        <w:lastRenderedPageBreak/>
        <w:t>Quality Monitoring and Evaluation Policy</w:t>
      </w:r>
      <w:r>
        <w:rPr>
          <w:rFonts w:eastAsia="Times New Roman"/>
          <w:b/>
          <w:color w:val="404040" w:themeColor="text1" w:themeTint="BF"/>
          <w:u w:val="single"/>
        </w:rPr>
        <w:t xml:space="preserve"> and Procedure </w:t>
      </w:r>
    </w:p>
    <w:p w14:paraId="18516861" w14:textId="77777777" w:rsidR="007414D3" w:rsidRDefault="007414D3" w:rsidP="007414D3">
      <w:pPr>
        <w:shd w:val="clear" w:color="auto" w:fill="FEFEFE"/>
        <w:spacing w:after="0"/>
        <w:ind w:left="720"/>
        <w:rPr>
          <w:rFonts w:ascii="Open Sans" w:hAnsi="Open Sans" w:cs="Open Sans"/>
          <w:color w:val="3A3C39"/>
        </w:rPr>
      </w:pPr>
    </w:p>
    <w:p w14:paraId="061E0D1C" w14:textId="4B33C5F9" w:rsidR="007414D3" w:rsidRDefault="00316DBA" w:rsidP="007414D3">
      <w:pPr>
        <w:numPr>
          <w:ilvl w:val="0"/>
          <w:numId w:val="22"/>
        </w:numPr>
        <w:shd w:val="clear" w:color="auto" w:fill="FEFEFE"/>
        <w:spacing w:after="0"/>
        <w:rPr>
          <w:rFonts w:ascii="Open Sans" w:hAnsi="Open Sans" w:cs="Open Sans"/>
          <w:color w:val="3A3C39"/>
        </w:rPr>
      </w:pPr>
      <w:hyperlink w:anchor="_Purpose" w:history="1">
        <w:r w:rsidR="007414D3" w:rsidRPr="00BE7340">
          <w:rPr>
            <w:rStyle w:val="Hyperlink"/>
            <w:rFonts w:ascii="Open Sans" w:hAnsi="Open Sans" w:cs="Open Sans"/>
          </w:rPr>
          <w:t>Purpose</w:t>
        </w:r>
      </w:hyperlink>
    </w:p>
    <w:p w14:paraId="49E9A3AB" w14:textId="1859592D" w:rsidR="007414D3" w:rsidRDefault="00316DBA" w:rsidP="007414D3">
      <w:pPr>
        <w:numPr>
          <w:ilvl w:val="0"/>
          <w:numId w:val="22"/>
        </w:numPr>
        <w:shd w:val="clear" w:color="auto" w:fill="FEFEFE"/>
        <w:spacing w:after="0"/>
        <w:rPr>
          <w:rFonts w:ascii="Open Sans" w:hAnsi="Open Sans" w:cs="Open Sans"/>
          <w:color w:val="3A3C39"/>
        </w:rPr>
      </w:pPr>
      <w:hyperlink w:anchor="_Module_Review" w:history="1">
        <w:r w:rsidR="007414D3" w:rsidRPr="00BE7340">
          <w:rPr>
            <w:rStyle w:val="Hyperlink"/>
            <w:rFonts w:ascii="Open Sans" w:hAnsi="Open Sans" w:cs="Open Sans"/>
          </w:rPr>
          <w:t>Module Review</w:t>
        </w:r>
      </w:hyperlink>
    </w:p>
    <w:p w14:paraId="2338AF50" w14:textId="66CA30E3" w:rsidR="007414D3" w:rsidRPr="005F01CB" w:rsidRDefault="00316DBA" w:rsidP="007414D3">
      <w:pPr>
        <w:numPr>
          <w:ilvl w:val="0"/>
          <w:numId w:val="22"/>
        </w:numPr>
        <w:shd w:val="clear" w:color="auto" w:fill="FEFEFE"/>
        <w:spacing w:after="0"/>
        <w:rPr>
          <w:rFonts w:ascii="Open Sans" w:hAnsi="Open Sans" w:cs="Open Sans"/>
          <w:color w:val="3A3C39"/>
        </w:rPr>
      </w:pPr>
      <w:hyperlink w:anchor="_Annual_Programme_Monitoring" w:history="1">
        <w:r w:rsidR="007414D3" w:rsidRPr="00BE7340">
          <w:rPr>
            <w:rStyle w:val="Hyperlink"/>
            <w:rFonts w:ascii="Open Sans" w:hAnsi="Open Sans" w:cs="Open Sans"/>
          </w:rPr>
          <w:t>Annual Programme Monitoring</w:t>
        </w:r>
      </w:hyperlink>
    </w:p>
    <w:p w14:paraId="50AA61E2" w14:textId="1CD9D6D7" w:rsidR="007414D3" w:rsidRDefault="00316DBA" w:rsidP="007414D3">
      <w:pPr>
        <w:numPr>
          <w:ilvl w:val="0"/>
          <w:numId w:val="22"/>
        </w:numPr>
        <w:shd w:val="clear" w:color="auto" w:fill="FEFEFE"/>
        <w:spacing w:after="0"/>
        <w:rPr>
          <w:rFonts w:ascii="Open Sans" w:hAnsi="Open Sans" w:cs="Open Sans"/>
          <w:color w:val="3A3C39"/>
        </w:rPr>
      </w:pPr>
      <w:hyperlink w:anchor="_Quinquennial_Learning_and" w:history="1">
        <w:r w:rsidR="007414D3" w:rsidRPr="00BE7340">
          <w:rPr>
            <w:rStyle w:val="Hyperlink"/>
            <w:rFonts w:ascii="Open Sans" w:hAnsi="Open Sans" w:cs="Open Sans"/>
          </w:rPr>
          <w:t>Quinquennial Learning and Teaching Review</w:t>
        </w:r>
      </w:hyperlink>
    </w:p>
    <w:p w14:paraId="337A026E" w14:textId="77777777" w:rsidR="007414D3" w:rsidRDefault="007414D3" w:rsidP="007414D3">
      <w:pPr>
        <w:shd w:val="clear" w:color="auto" w:fill="FEFEFE"/>
        <w:spacing w:after="0"/>
        <w:ind w:left="720"/>
        <w:rPr>
          <w:rFonts w:ascii="Open Sans" w:hAnsi="Open Sans" w:cs="Open Sans"/>
          <w:color w:val="3A3C39"/>
        </w:rPr>
      </w:pPr>
    </w:p>
    <w:p w14:paraId="6ABBFBF1" w14:textId="77777777" w:rsidR="007414D3" w:rsidRPr="005F01CB" w:rsidRDefault="007414D3" w:rsidP="007414D3">
      <w:pPr>
        <w:shd w:val="clear" w:color="auto" w:fill="FEFEFE"/>
        <w:spacing w:after="0"/>
        <w:ind w:left="720"/>
        <w:rPr>
          <w:rFonts w:ascii="Open Sans" w:hAnsi="Open Sans" w:cs="Open Sans"/>
          <w:color w:val="3A3C39"/>
        </w:rPr>
      </w:pPr>
    </w:p>
    <w:p w14:paraId="129BEF3C" w14:textId="2717E289" w:rsidR="00BE7340" w:rsidRDefault="007414D3" w:rsidP="00BE7340">
      <w:pPr>
        <w:pStyle w:val="Heading1"/>
        <w:rPr>
          <w:rFonts w:eastAsia="Times New Roman"/>
          <w:b/>
          <w:bCs/>
          <w:color w:val="auto"/>
          <w:sz w:val="28"/>
          <w:szCs w:val="28"/>
          <w:lang w:val="en-US"/>
        </w:rPr>
      </w:pPr>
      <w:bookmarkStart w:id="0" w:name="_Purpose"/>
      <w:bookmarkEnd w:id="0"/>
      <w:r w:rsidRPr="00BE7340">
        <w:rPr>
          <w:rFonts w:eastAsia="Times New Roman"/>
          <w:b/>
          <w:bCs/>
          <w:color w:val="auto"/>
          <w:sz w:val="28"/>
          <w:szCs w:val="28"/>
          <w:lang w:val="en-US"/>
        </w:rPr>
        <w:t>Purpose</w:t>
      </w:r>
    </w:p>
    <w:p w14:paraId="5A73364B" w14:textId="77777777" w:rsidR="00BE7340" w:rsidRPr="00BE7340" w:rsidRDefault="00BE7340" w:rsidP="00BE7340">
      <w:pPr>
        <w:spacing w:after="0"/>
        <w:rPr>
          <w:lang w:val="en-US"/>
        </w:rPr>
      </w:pPr>
    </w:p>
    <w:p w14:paraId="1029ACE0" w14:textId="77777777" w:rsidR="007414D3" w:rsidRDefault="007414D3" w:rsidP="00BE7340">
      <w:pPr>
        <w:pStyle w:val="ListParagraph"/>
        <w:numPr>
          <w:ilvl w:val="0"/>
          <w:numId w:val="23"/>
        </w:numPr>
        <w:shd w:val="clear" w:color="auto" w:fill="FEFEFE"/>
        <w:spacing w:after="0"/>
        <w:ind w:left="567" w:hanging="567"/>
        <w:rPr>
          <w:rFonts w:eastAsia="Times New Roman" w:cstheme="minorHAnsi"/>
          <w:color w:val="3A3C39"/>
        </w:rPr>
      </w:pPr>
      <w:r w:rsidRPr="00244D26">
        <w:rPr>
          <w:rFonts w:eastAsia="Times New Roman" w:cstheme="minorHAnsi"/>
          <w:color w:val="3A3C39"/>
        </w:rPr>
        <w:t>The University</w:t>
      </w:r>
      <w:r>
        <w:rPr>
          <w:rFonts w:eastAsia="Times New Roman" w:cstheme="minorHAnsi"/>
          <w:color w:val="3A3C39"/>
        </w:rPr>
        <w:t xml:space="preserve"> of Stirling is committed to maintaining academic standards and delivering consistently high standards of quality in its programmes, thereby ensuring that they provide an excellent academic experience and enable student achievement to be reliably assessed. </w:t>
      </w:r>
    </w:p>
    <w:p w14:paraId="29D9BF47" w14:textId="77777777" w:rsidR="007414D3" w:rsidRDefault="007414D3" w:rsidP="00BE7340">
      <w:pPr>
        <w:pStyle w:val="ListParagraph"/>
        <w:shd w:val="clear" w:color="auto" w:fill="FEFEFE"/>
        <w:spacing w:after="0"/>
        <w:ind w:left="567"/>
        <w:rPr>
          <w:rFonts w:eastAsia="Times New Roman" w:cstheme="minorHAnsi"/>
          <w:color w:val="3A3C39"/>
        </w:rPr>
      </w:pPr>
    </w:p>
    <w:p w14:paraId="218BDF96" w14:textId="77777777" w:rsidR="007414D3" w:rsidRDefault="007414D3" w:rsidP="007414D3">
      <w:pPr>
        <w:pStyle w:val="ListParagraph"/>
        <w:numPr>
          <w:ilvl w:val="0"/>
          <w:numId w:val="23"/>
        </w:numPr>
        <w:shd w:val="clear" w:color="auto" w:fill="FEFEFE"/>
        <w:spacing w:after="0"/>
        <w:ind w:left="567" w:hanging="567"/>
        <w:rPr>
          <w:rFonts w:eastAsia="Times New Roman" w:cstheme="minorHAnsi"/>
          <w:color w:val="3A3C39"/>
        </w:rPr>
      </w:pPr>
      <w:r w:rsidRPr="006B0F04">
        <w:rPr>
          <w:rFonts w:eastAsia="Times New Roman" w:cstheme="minorHAnsi"/>
          <w:color w:val="3A3C39"/>
        </w:rPr>
        <w:t>Within the obligations set out by both the Quality Assurance Agency for Higher Education, and the Scottish Funding Council, in line with the national Quality Enhancement Framework, higher education institutions in Scotland are required to have in place explicit, effective, strategic approaches to quality assurance and enhancement.</w:t>
      </w:r>
    </w:p>
    <w:p w14:paraId="0E0D3A56" w14:textId="77777777" w:rsidR="007414D3" w:rsidRDefault="007414D3" w:rsidP="007414D3">
      <w:pPr>
        <w:pStyle w:val="ListParagraph"/>
        <w:shd w:val="clear" w:color="auto" w:fill="FEFEFE"/>
        <w:spacing w:after="0"/>
        <w:ind w:left="567" w:hanging="567"/>
        <w:rPr>
          <w:rFonts w:eastAsia="Times New Roman" w:cstheme="minorHAnsi"/>
          <w:color w:val="3A3C39"/>
        </w:rPr>
      </w:pPr>
    </w:p>
    <w:p w14:paraId="2C83BB9A" w14:textId="77777777" w:rsidR="007414D3" w:rsidRPr="001E4453" w:rsidRDefault="007414D3" w:rsidP="007414D3">
      <w:pPr>
        <w:pStyle w:val="ListParagraph"/>
        <w:numPr>
          <w:ilvl w:val="0"/>
          <w:numId w:val="23"/>
        </w:numPr>
        <w:shd w:val="clear" w:color="auto" w:fill="FEFEFE"/>
        <w:spacing w:after="0"/>
        <w:ind w:left="567" w:hanging="567"/>
        <w:rPr>
          <w:rFonts w:eastAsia="Times New Roman" w:cstheme="minorHAnsi"/>
          <w:color w:val="3A3C39"/>
        </w:rPr>
      </w:pPr>
      <w:r>
        <w:rPr>
          <w:rFonts w:eastAsia="Times New Roman" w:cstheme="minorHAnsi"/>
          <w:color w:val="3A3C39"/>
        </w:rPr>
        <w:t xml:space="preserve">The University of Stirling Academic Quality Assurance and Enhancement Framework sets out the University’s arrangements for academic quality and our approach to managing quality and enhancing provision. </w:t>
      </w:r>
    </w:p>
    <w:p w14:paraId="54C0CBED" w14:textId="77777777" w:rsidR="007414D3" w:rsidRDefault="007414D3" w:rsidP="007414D3">
      <w:pPr>
        <w:pStyle w:val="ListParagraph"/>
        <w:shd w:val="clear" w:color="auto" w:fill="FEFEFE"/>
        <w:spacing w:after="0"/>
        <w:ind w:left="567"/>
        <w:rPr>
          <w:rFonts w:eastAsia="Times New Roman" w:cstheme="minorHAnsi"/>
          <w:color w:val="3A3C39"/>
        </w:rPr>
      </w:pPr>
    </w:p>
    <w:p w14:paraId="035C19CB" w14:textId="77777777" w:rsidR="007414D3" w:rsidRPr="001E4453" w:rsidRDefault="007414D3" w:rsidP="007414D3">
      <w:pPr>
        <w:pStyle w:val="ListParagraph"/>
        <w:numPr>
          <w:ilvl w:val="0"/>
          <w:numId w:val="23"/>
        </w:numPr>
        <w:shd w:val="clear" w:color="auto" w:fill="FEFEFE"/>
        <w:spacing w:after="0"/>
        <w:ind w:left="567" w:hanging="567"/>
        <w:rPr>
          <w:rFonts w:eastAsia="Times New Roman" w:cstheme="minorHAnsi"/>
          <w:color w:val="3A3C39"/>
        </w:rPr>
      </w:pPr>
      <w:r>
        <w:rPr>
          <w:rFonts w:eastAsia="Times New Roman" w:cstheme="minorHAnsi"/>
          <w:color w:val="3A3C39"/>
        </w:rPr>
        <w:t xml:space="preserve">The </w:t>
      </w:r>
      <w:hyperlink r:id="rId13" w:history="1">
        <w:r w:rsidRPr="00A173DE">
          <w:rPr>
            <w:rStyle w:val="Hyperlink"/>
            <w:rFonts w:eastAsia="Times New Roman" w:cstheme="minorHAnsi"/>
          </w:rPr>
          <w:t>Curriculum Development and Management Policy and Procedure</w:t>
        </w:r>
      </w:hyperlink>
      <w:r>
        <w:rPr>
          <w:rFonts w:eastAsia="Times New Roman" w:cstheme="minorHAnsi"/>
          <w:color w:val="3A3C39"/>
        </w:rPr>
        <w:t xml:space="preserve"> provides the University’s approach to the development, approval and continuing management of modules and programmes, and facilitates both being consistently well designed and offering a high-quality learning experience. The policy and procedure represent elements of ongoing, underpinning activity which form part of the University’s Academic Quality Assurance and Enhancement Framework. </w:t>
      </w:r>
    </w:p>
    <w:p w14:paraId="7F563A4A" w14:textId="77777777" w:rsidR="007414D3" w:rsidRPr="006B0F04" w:rsidRDefault="007414D3" w:rsidP="007414D3">
      <w:pPr>
        <w:pStyle w:val="ListParagraph"/>
        <w:ind w:left="567" w:hanging="567"/>
        <w:rPr>
          <w:rFonts w:eastAsia="Times New Roman" w:cstheme="minorHAnsi"/>
          <w:color w:val="3A3C39"/>
        </w:rPr>
      </w:pPr>
    </w:p>
    <w:p w14:paraId="2A0715E8" w14:textId="77777777" w:rsidR="007414D3" w:rsidRDefault="007414D3" w:rsidP="007414D3">
      <w:pPr>
        <w:pStyle w:val="ListParagraph"/>
        <w:numPr>
          <w:ilvl w:val="0"/>
          <w:numId w:val="23"/>
        </w:numPr>
        <w:shd w:val="clear" w:color="auto" w:fill="FEFEFE"/>
        <w:spacing w:after="0"/>
        <w:ind w:left="567" w:hanging="567"/>
        <w:rPr>
          <w:rFonts w:eastAsia="Times New Roman" w:cstheme="minorHAnsi"/>
          <w:color w:val="3A3C39"/>
        </w:rPr>
      </w:pPr>
      <w:r>
        <w:rPr>
          <w:rFonts w:eastAsia="Times New Roman" w:cstheme="minorHAnsi"/>
          <w:color w:val="3A3C39"/>
        </w:rPr>
        <w:t xml:space="preserve">A further </w:t>
      </w:r>
      <w:r w:rsidRPr="00132BCA">
        <w:rPr>
          <w:rFonts w:eastAsia="Times New Roman" w:cstheme="minorHAnsi"/>
          <w:color w:val="3A3C39"/>
        </w:rPr>
        <w:t xml:space="preserve">key element of the Academic Quality Assurance and Enhancement Framework is Institution-led Review. Higher Education Institutions in Scotland are expected to undertake Institution-led Review, including both annual and periodic review of education provision </w:t>
      </w:r>
      <w:proofErr w:type="gramStart"/>
      <w:r w:rsidRPr="00132BCA">
        <w:rPr>
          <w:rFonts w:eastAsia="Times New Roman" w:cstheme="minorHAnsi"/>
          <w:color w:val="3A3C39"/>
        </w:rPr>
        <w:t>in order to</w:t>
      </w:r>
      <w:proofErr w:type="gramEnd"/>
      <w:r w:rsidRPr="00132BCA">
        <w:rPr>
          <w:rFonts w:eastAsia="Times New Roman" w:cstheme="minorHAnsi"/>
          <w:color w:val="3A3C39"/>
        </w:rPr>
        <w:t xml:space="preserve"> be able to determine and demonstrate that required academic standards are being consistently met. In addition, institutions are expected to reflect, at the institutional level, on strategic issues arising from regular quality processes (including annual and periodic reviews), and to make use of this information as part of the overall strategic approach to quality enhancement. This strategic approach and its effectiveness are explicitly considered during Enhancement-led Institutional Reviews (ELIR). </w:t>
      </w:r>
    </w:p>
    <w:p w14:paraId="6CE023D8" w14:textId="77777777" w:rsidR="007414D3" w:rsidRPr="00132BCA" w:rsidRDefault="007414D3" w:rsidP="007414D3">
      <w:pPr>
        <w:pStyle w:val="ListParagraph"/>
        <w:ind w:left="567" w:hanging="567"/>
        <w:rPr>
          <w:rFonts w:eastAsia="Times New Roman" w:cstheme="minorHAnsi"/>
          <w:b/>
          <w:bCs/>
          <w:color w:val="3A3C39"/>
        </w:rPr>
      </w:pPr>
    </w:p>
    <w:p w14:paraId="6DCC0901" w14:textId="77777777" w:rsidR="007414D3" w:rsidRDefault="007414D3" w:rsidP="007414D3">
      <w:pPr>
        <w:pStyle w:val="ListParagraph"/>
        <w:numPr>
          <w:ilvl w:val="0"/>
          <w:numId w:val="23"/>
        </w:numPr>
        <w:shd w:val="clear" w:color="auto" w:fill="FEFEFE"/>
        <w:spacing w:after="0"/>
        <w:ind w:left="567" w:hanging="567"/>
        <w:rPr>
          <w:rFonts w:eastAsia="Times New Roman" w:cstheme="minorHAnsi"/>
          <w:color w:val="3A3C39"/>
        </w:rPr>
      </w:pPr>
      <w:r w:rsidRPr="000D7D70">
        <w:rPr>
          <w:rFonts w:eastAsia="Times New Roman" w:cstheme="minorHAnsi"/>
          <w:color w:val="3A3C39"/>
        </w:rPr>
        <w:t xml:space="preserve">As part of our overall approach to Institution-led Review, modules and programmes are monitored in terms of standards, student achievement and opportunities for enhancement on an </w:t>
      </w:r>
      <w:r>
        <w:rPr>
          <w:rFonts w:eastAsia="Times New Roman" w:cstheme="minorHAnsi"/>
          <w:color w:val="3A3C39"/>
        </w:rPr>
        <w:t>ongoing</w:t>
      </w:r>
      <w:r w:rsidRPr="000D7D70">
        <w:rPr>
          <w:rFonts w:eastAsia="Times New Roman" w:cstheme="minorHAnsi"/>
          <w:color w:val="3A3C39"/>
        </w:rPr>
        <w:t xml:space="preserve"> basis. This takes place through the Module Review and Annual Programme Monitoring procedures</w:t>
      </w:r>
      <w:r>
        <w:rPr>
          <w:rFonts w:eastAsia="Times New Roman" w:cstheme="minorHAnsi"/>
          <w:color w:val="3A3C39"/>
        </w:rPr>
        <w:t>.</w:t>
      </w:r>
    </w:p>
    <w:p w14:paraId="47826F29" w14:textId="77777777" w:rsidR="007414D3" w:rsidRPr="000D7D70" w:rsidRDefault="007414D3" w:rsidP="007414D3">
      <w:pPr>
        <w:pStyle w:val="ListParagraph"/>
        <w:ind w:left="567" w:hanging="567"/>
        <w:rPr>
          <w:rFonts w:eastAsia="Times New Roman" w:cstheme="minorHAnsi"/>
          <w:b/>
          <w:bCs/>
          <w:color w:val="3A3C39"/>
        </w:rPr>
      </w:pPr>
    </w:p>
    <w:p w14:paraId="71EF6536" w14:textId="77777777" w:rsidR="007414D3" w:rsidRDefault="007414D3" w:rsidP="007414D3">
      <w:pPr>
        <w:pStyle w:val="ListParagraph"/>
        <w:numPr>
          <w:ilvl w:val="0"/>
          <w:numId w:val="23"/>
        </w:numPr>
        <w:shd w:val="clear" w:color="auto" w:fill="FEFEFE"/>
        <w:spacing w:after="0"/>
        <w:ind w:left="567" w:hanging="567"/>
        <w:rPr>
          <w:rFonts w:eastAsia="Times New Roman" w:cstheme="minorHAnsi"/>
          <w:color w:val="3A3C39"/>
        </w:rPr>
      </w:pPr>
      <w:r>
        <w:rPr>
          <w:rFonts w:eastAsia="Times New Roman" w:cstheme="minorHAnsi"/>
          <w:color w:val="3A3C39"/>
        </w:rPr>
        <w:lastRenderedPageBreak/>
        <w:t xml:space="preserve">A further element of Institution-led Review is </w:t>
      </w:r>
      <w:r w:rsidRPr="000D7D70">
        <w:rPr>
          <w:rFonts w:eastAsia="Times New Roman" w:cstheme="minorHAnsi"/>
          <w:color w:val="3A3C39"/>
        </w:rPr>
        <w:t>Quinquennial</w:t>
      </w:r>
      <w:r w:rsidRPr="002D7D6F">
        <w:rPr>
          <w:rFonts w:eastAsia="Times New Roman" w:cstheme="minorHAnsi"/>
          <w:color w:val="3A3C39"/>
        </w:rPr>
        <w:t xml:space="preserve"> </w:t>
      </w:r>
      <w:r>
        <w:rPr>
          <w:rFonts w:eastAsia="Times New Roman" w:cstheme="minorHAnsi"/>
          <w:color w:val="3A3C39"/>
        </w:rPr>
        <w:t>Le</w:t>
      </w:r>
      <w:r w:rsidRPr="002D7D6F">
        <w:rPr>
          <w:rFonts w:eastAsia="Times New Roman" w:cstheme="minorHAnsi"/>
          <w:color w:val="3A3C39"/>
        </w:rPr>
        <w:t xml:space="preserve">arning and </w:t>
      </w:r>
      <w:r>
        <w:rPr>
          <w:rFonts w:eastAsia="Times New Roman" w:cstheme="minorHAnsi"/>
          <w:color w:val="3A3C39"/>
        </w:rPr>
        <w:t>T</w:t>
      </w:r>
      <w:r w:rsidRPr="002D7D6F">
        <w:rPr>
          <w:rFonts w:eastAsia="Times New Roman" w:cstheme="minorHAnsi"/>
          <w:color w:val="3A3C39"/>
        </w:rPr>
        <w:t xml:space="preserve">eaching </w:t>
      </w:r>
      <w:r>
        <w:rPr>
          <w:rFonts w:eastAsia="Times New Roman" w:cstheme="minorHAnsi"/>
          <w:color w:val="3A3C39"/>
        </w:rPr>
        <w:t>R</w:t>
      </w:r>
      <w:r w:rsidRPr="002D7D6F">
        <w:rPr>
          <w:rFonts w:eastAsia="Times New Roman" w:cstheme="minorHAnsi"/>
          <w:color w:val="3A3C39"/>
        </w:rPr>
        <w:t xml:space="preserve">eview </w:t>
      </w:r>
      <w:r>
        <w:rPr>
          <w:rFonts w:eastAsia="Times New Roman" w:cstheme="minorHAnsi"/>
          <w:color w:val="3A3C39"/>
        </w:rPr>
        <w:t xml:space="preserve">which takes place at the subject-level and facilitates periodic review of provision.  </w:t>
      </w:r>
    </w:p>
    <w:p w14:paraId="080AC959" w14:textId="77777777" w:rsidR="007414D3" w:rsidRPr="00215FA5" w:rsidRDefault="007414D3" w:rsidP="007414D3">
      <w:pPr>
        <w:pStyle w:val="ListParagraph"/>
        <w:ind w:left="567" w:hanging="567"/>
        <w:rPr>
          <w:rFonts w:eastAsia="Times New Roman" w:cstheme="minorHAnsi"/>
          <w:color w:val="3A3C39"/>
        </w:rPr>
      </w:pPr>
    </w:p>
    <w:p w14:paraId="20DB1135" w14:textId="77777777" w:rsidR="007414D3" w:rsidRDefault="007414D3" w:rsidP="007414D3">
      <w:pPr>
        <w:pStyle w:val="ListParagraph"/>
        <w:numPr>
          <w:ilvl w:val="0"/>
          <w:numId w:val="23"/>
        </w:numPr>
        <w:shd w:val="clear" w:color="auto" w:fill="FEFEFE"/>
        <w:spacing w:after="0"/>
        <w:ind w:left="567" w:hanging="567"/>
        <w:rPr>
          <w:rFonts w:eastAsia="Times New Roman" w:cstheme="minorHAnsi"/>
          <w:color w:val="3A3C39"/>
        </w:rPr>
      </w:pPr>
      <w:r>
        <w:rPr>
          <w:rFonts w:eastAsia="Times New Roman" w:cstheme="minorHAnsi"/>
          <w:color w:val="3A3C39"/>
        </w:rPr>
        <w:t xml:space="preserve">The purpose of this policy and procedure is to set out the University’s arrangements for quality monitoring and evaluation across Module Review, Annual Programme Monitoring and Quinquennial Learning and Teaching Review. The preparation of the policy and procedure has taken account of the </w:t>
      </w:r>
      <w:hyperlink r:id="rId14" w:history="1">
        <w:r w:rsidRPr="00A42BD5">
          <w:rPr>
            <w:rStyle w:val="Hyperlink"/>
            <w:rFonts w:eastAsia="Times New Roman" w:cstheme="minorHAnsi"/>
          </w:rPr>
          <w:t>UK Quality Code for Higher Education</w:t>
        </w:r>
      </w:hyperlink>
      <w:r>
        <w:rPr>
          <w:rFonts w:eastAsia="Times New Roman" w:cstheme="minorHAnsi"/>
          <w:color w:val="3A3C39"/>
        </w:rPr>
        <w:t xml:space="preserve"> and the associated </w:t>
      </w:r>
      <w:hyperlink r:id="rId15" w:history="1">
        <w:r w:rsidRPr="003A2E85">
          <w:rPr>
            <w:rStyle w:val="Hyperlink"/>
            <w:rFonts w:eastAsia="Times New Roman" w:cstheme="minorHAnsi"/>
          </w:rPr>
          <w:t>Advice and Guidance on Monitoring and Evaluation</w:t>
        </w:r>
      </w:hyperlink>
      <w:r>
        <w:rPr>
          <w:rFonts w:eastAsia="Times New Roman" w:cstheme="minorHAnsi"/>
          <w:color w:val="3A3C39"/>
        </w:rPr>
        <w:t xml:space="preserve">. </w:t>
      </w:r>
    </w:p>
    <w:p w14:paraId="0F2FE8BC" w14:textId="77777777" w:rsidR="007414D3" w:rsidRPr="00951001" w:rsidRDefault="007414D3" w:rsidP="007414D3">
      <w:pPr>
        <w:pStyle w:val="ListParagraph"/>
        <w:ind w:left="567" w:hanging="567"/>
        <w:rPr>
          <w:rFonts w:eastAsia="Times New Roman" w:cstheme="minorHAnsi"/>
          <w:color w:val="3A3C39"/>
        </w:rPr>
      </w:pPr>
    </w:p>
    <w:p w14:paraId="3C003CE7" w14:textId="77777777" w:rsidR="007414D3" w:rsidRDefault="007414D3" w:rsidP="007414D3">
      <w:pPr>
        <w:pStyle w:val="ListParagraph"/>
        <w:numPr>
          <w:ilvl w:val="0"/>
          <w:numId w:val="23"/>
        </w:numPr>
        <w:shd w:val="clear" w:color="auto" w:fill="FEFEFE"/>
        <w:spacing w:after="0"/>
        <w:ind w:left="567" w:hanging="567"/>
        <w:rPr>
          <w:rFonts w:eastAsia="Times New Roman" w:cstheme="minorHAnsi"/>
          <w:color w:val="3A3C39"/>
        </w:rPr>
      </w:pPr>
      <w:r>
        <w:rPr>
          <w:rFonts w:eastAsia="Times New Roman" w:cstheme="minorHAnsi"/>
          <w:color w:val="3A3C39"/>
        </w:rPr>
        <w:t xml:space="preserve">The policy and procedure should be read and understood in conjunction with the External Examining Policy and the guidance resources that exist in relation to External Examining and Quinquennial Learning and Teaching Review. Links to associated documents are provided throughout the policy. </w:t>
      </w:r>
    </w:p>
    <w:p w14:paraId="702D4421" w14:textId="77777777" w:rsidR="007414D3" w:rsidRPr="00630101" w:rsidRDefault="007414D3" w:rsidP="007414D3">
      <w:pPr>
        <w:pStyle w:val="ListParagraph"/>
        <w:rPr>
          <w:rFonts w:eastAsia="Times New Roman" w:cstheme="minorHAnsi"/>
          <w:color w:val="3A3C39"/>
        </w:rPr>
      </w:pPr>
    </w:p>
    <w:p w14:paraId="139B9A81" w14:textId="1970A934" w:rsidR="007414D3" w:rsidRPr="002D7D6F" w:rsidRDefault="007414D3" w:rsidP="007414D3">
      <w:pPr>
        <w:pStyle w:val="ListParagraph"/>
        <w:numPr>
          <w:ilvl w:val="0"/>
          <w:numId w:val="23"/>
        </w:numPr>
        <w:shd w:val="clear" w:color="auto" w:fill="FEFEFE"/>
        <w:spacing w:after="0"/>
        <w:ind w:left="567" w:hanging="567"/>
        <w:rPr>
          <w:rFonts w:eastAsia="Times New Roman" w:cstheme="minorHAnsi"/>
          <w:color w:val="3A3C39"/>
        </w:rPr>
      </w:pPr>
      <w:r>
        <w:rPr>
          <w:rFonts w:eastAsia="Times New Roman" w:cstheme="minorHAnsi"/>
          <w:color w:val="3A3C39"/>
        </w:rPr>
        <w:t xml:space="preserve">Academic Registry has responsibility for managing and developing the University’s academic quality assurance and enhancement arrangements. The Academic Quality and Governance area of the Academic Registry team </w:t>
      </w:r>
      <w:r w:rsidR="007626DE">
        <w:rPr>
          <w:rFonts w:eastAsia="Times New Roman" w:cstheme="minorHAnsi"/>
          <w:color w:val="3A3C39"/>
        </w:rPr>
        <w:t xml:space="preserve">(AQG) </w:t>
      </w:r>
      <w:r>
        <w:rPr>
          <w:rFonts w:eastAsia="Times New Roman" w:cstheme="minorHAnsi"/>
          <w:color w:val="3A3C39"/>
        </w:rPr>
        <w:t xml:space="preserve">operates the arrangements and can be contacted in respect of quality matters via </w:t>
      </w:r>
      <w:hyperlink r:id="rId16" w:history="1">
        <w:r w:rsidRPr="00E92315">
          <w:rPr>
            <w:rStyle w:val="Hyperlink"/>
            <w:rFonts w:eastAsia="Times New Roman" w:cstheme="minorHAnsi"/>
          </w:rPr>
          <w:t>quality@stir.ac.uk</w:t>
        </w:r>
      </w:hyperlink>
      <w:r>
        <w:rPr>
          <w:rFonts w:eastAsia="Times New Roman" w:cstheme="minorHAnsi"/>
          <w:color w:val="3A3C39"/>
        </w:rPr>
        <w:t xml:space="preserve">. </w:t>
      </w:r>
    </w:p>
    <w:p w14:paraId="53830BB9" w14:textId="77777777" w:rsidR="007414D3" w:rsidRDefault="007414D3" w:rsidP="007414D3">
      <w:pPr>
        <w:shd w:val="clear" w:color="auto" w:fill="FEFEFE"/>
        <w:spacing w:after="0"/>
        <w:outlineLvl w:val="1"/>
        <w:rPr>
          <w:rFonts w:eastAsia="Times New Roman" w:cstheme="minorHAnsi"/>
          <w:color w:val="006938"/>
        </w:rPr>
      </w:pPr>
    </w:p>
    <w:p w14:paraId="65658F46" w14:textId="77777777" w:rsidR="007414D3" w:rsidRDefault="007414D3" w:rsidP="007414D3">
      <w:pPr>
        <w:shd w:val="clear" w:color="auto" w:fill="FEFEFE"/>
        <w:spacing w:after="0"/>
        <w:outlineLvl w:val="1"/>
        <w:rPr>
          <w:rFonts w:eastAsia="Times New Roman" w:cstheme="minorHAnsi"/>
          <w:color w:val="006938"/>
        </w:rPr>
      </w:pPr>
    </w:p>
    <w:p w14:paraId="04364CD2" w14:textId="77777777" w:rsidR="007414D3" w:rsidRPr="00BE7340" w:rsidRDefault="007414D3" w:rsidP="00BE7340">
      <w:pPr>
        <w:pStyle w:val="Heading1"/>
        <w:rPr>
          <w:rFonts w:eastAsia="Times New Roman"/>
          <w:b/>
          <w:bCs/>
          <w:color w:val="auto"/>
          <w:sz w:val="28"/>
          <w:szCs w:val="28"/>
          <w:lang w:val="en-US"/>
        </w:rPr>
      </w:pPr>
      <w:bookmarkStart w:id="1" w:name="_Module_Review"/>
      <w:bookmarkEnd w:id="1"/>
      <w:r w:rsidRPr="00BE7340">
        <w:rPr>
          <w:rFonts w:eastAsia="Times New Roman"/>
          <w:b/>
          <w:bCs/>
          <w:color w:val="auto"/>
          <w:sz w:val="28"/>
          <w:szCs w:val="28"/>
          <w:lang w:val="en-US"/>
        </w:rPr>
        <w:t>Module Review</w:t>
      </w:r>
    </w:p>
    <w:p w14:paraId="322DC658" w14:textId="77777777" w:rsidR="007414D3" w:rsidRDefault="007414D3" w:rsidP="007414D3">
      <w:pPr>
        <w:shd w:val="clear" w:color="auto" w:fill="FEFEFE"/>
        <w:spacing w:after="0"/>
        <w:rPr>
          <w:rFonts w:eastAsia="Times New Roman" w:cstheme="minorHAnsi"/>
          <w:b/>
          <w:bCs/>
          <w:color w:val="3A3C39"/>
        </w:rPr>
      </w:pPr>
    </w:p>
    <w:p w14:paraId="211EDE56" w14:textId="77777777" w:rsidR="007414D3" w:rsidRDefault="007414D3" w:rsidP="007414D3">
      <w:pPr>
        <w:pStyle w:val="ListParagraph"/>
        <w:numPr>
          <w:ilvl w:val="0"/>
          <w:numId w:val="23"/>
        </w:numPr>
        <w:shd w:val="clear" w:color="auto" w:fill="FEFEFE"/>
        <w:spacing w:after="0"/>
        <w:ind w:left="567" w:hanging="567"/>
        <w:rPr>
          <w:rFonts w:eastAsia="Times New Roman" w:cstheme="minorHAnsi"/>
          <w:color w:val="3A3C39"/>
        </w:rPr>
      </w:pPr>
      <w:r>
        <w:rPr>
          <w:rFonts w:eastAsia="Times New Roman" w:cstheme="minorHAnsi"/>
          <w:color w:val="3A3C39"/>
        </w:rPr>
        <w:t xml:space="preserve">After every delivery of a module, Module Review should take place in line with the following steps. </w:t>
      </w:r>
    </w:p>
    <w:p w14:paraId="38443DD8" w14:textId="77777777" w:rsidR="007414D3" w:rsidRDefault="007414D3" w:rsidP="007414D3">
      <w:pPr>
        <w:pStyle w:val="ListParagraph"/>
        <w:shd w:val="clear" w:color="auto" w:fill="FEFEFE"/>
        <w:spacing w:after="0"/>
        <w:ind w:left="567"/>
        <w:rPr>
          <w:rFonts w:eastAsia="Times New Roman" w:cstheme="minorHAnsi"/>
          <w:color w:val="3A3C39"/>
        </w:rPr>
      </w:pPr>
    </w:p>
    <w:p w14:paraId="2D054E94" w14:textId="77777777" w:rsidR="007414D3" w:rsidRPr="002812B6" w:rsidRDefault="007414D3" w:rsidP="007414D3">
      <w:pPr>
        <w:pStyle w:val="ListParagraph"/>
        <w:numPr>
          <w:ilvl w:val="0"/>
          <w:numId w:val="23"/>
        </w:numPr>
        <w:shd w:val="clear" w:color="auto" w:fill="FEFEFE"/>
        <w:spacing w:after="0"/>
        <w:ind w:left="567" w:hanging="567"/>
        <w:rPr>
          <w:rFonts w:eastAsia="Times New Roman" w:cstheme="minorHAnsi"/>
          <w:color w:val="3A3C39"/>
        </w:rPr>
      </w:pPr>
      <w:r w:rsidRPr="002812B6">
        <w:rPr>
          <w:rFonts w:eastAsia="Times New Roman" w:cstheme="minorHAnsi"/>
          <w:color w:val="3A3C39"/>
        </w:rPr>
        <w:t xml:space="preserve">The Module Coordinator should: collate and review data on student attainment outcomes on the module; consider the feedback provided by students through Module Evaluation; consider the comments of External Examiners provided via the Module Board; consider relevant feedback from the Student Staff Consultative Committee (SSCC). You should reflect on this information and consider any enhancements or amendments to the module that require to be progressed </w:t>
      </w:r>
      <w:proofErr w:type="gramStart"/>
      <w:r w:rsidRPr="002812B6">
        <w:rPr>
          <w:rFonts w:eastAsia="Times New Roman" w:cstheme="minorHAnsi"/>
          <w:color w:val="3A3C39"/>
        </w:rPr>
        <w:t>in order to</w:t>
      </w:r>
      <w:proofErr w:type="gramEnd"/>
      <w:r w:rsidRPr="002812B6">
        <w:rPr>
          <w:rFonts w:eastAsia="Times New Roman" w:cstheme="minorHAnsi"/>
          <w:color w:val="3A3C39"/>
        </w:rPr>
        <w:t xml:space="preserve"> ensure continuing appropriateness and quality of student learning experience.</w:t>
      </w:r>
    </w:p>
    <w:p w14:paraId="3FA445B4" w14:textId="77777777" w:rsidR="007414D3" w:rsidRPr="003A1AEA" w:rsidRDefault="007414D3" w:rsidP="007414D3">
      <w:pPr>
        <w:shd w:val="clear" w:color="auto" w:fill="FEFEFE"/>
        <w:spacing w:after="0"/>
        <w:rPr>
          <w:rFonts w:eastAsia="Times New Roman" w:cstheme="minorHAnsi"/>
          <w:color w:val="3A3C39"/>
        </w:rPr>
      </w:pPr>
      <w:r w:rsidRPr="003A1AEA">
        <w:rPr>
          <w:rFonts w:eastAsia="Times New Roman" w:cstheme="minorHAnsi"/>
          <w:color w:val="3A3C39"/>
        </w:rPr>
        <w:t xml:space="preserve"> </w:t>
      </w:r>
    </w:p>
    <w:p w14:paraId="1C12DE3D" w14:textId="77777777" w:rsidR="007414D3" w:rsidRDefault="007414D3" w:rsidP="007414D3">
      <w:pPr>
        <w:pStyle w:val="ListParagraph"/>
        <w:numPr>
          <w:ilvl w:val="0"/>
          <w:numId w:val="23"/>
        </w:numPr>
        <w:shd w:val="clear" w:color="auto" w:fill="FEFEFE"/>
        <w:spacing w:after="0"/>
        <w:ind w:left="567" w:hanging="567"/>
        <w:rPr>
          <w:rFonts w:eastAsia="Times New Roman" w:cstheme="minorHAnsi"/>
          <w:color w:val="3A3C39"/>
        </w:rPr>
      </w:pPr>
      <w:r>
        <w:rPr>
          <w:rFonts w:eastAsia="Times New Roman" w:cstheme="minorHAnsi"/>
          <w:color w:val="3A3C39"/>
        </w:rPr>
        <w:t>The Module Review Report form should be completed to record: the data gathered on student attainment; key reflections on the feedback from Module Evaluation, External Examiners and SSCC; an overall reflection on the performance of the module; enhancements or amendments planned along with corresponding timescales for implementation.</w:t>
      </w:r>
    </w:p>
    <w:p w14:paraId="1AE48774" w14:textId="77777777" w:rsidR="007414D3" w:rsidRPr="003A1AEA" w:rsidRDefault="007414D3" w:rsidP="007414D3">
      <w:pPr>
        <w:pStyle w:val="ListParagraph"/>
        <w:rPr>
          <w:rFonts w:eastAsia="Times New Roman" w:cstheme="minorHAnsi"/>
          <w:color w:val="3A3C39"/>
        </w:rPr>
      </w:pPr>
    </w:p>
    <w:p w14:paraId="4C2D36F2" w14:textId="53D4A12C" w:rsidR="007414D3" w:rsidRDefault="007414D3" w:rsidP="007414D3">
      <w:pPr>
        <w:pStyle w:val="ListParagraph"/>
        <w:numPr>
          <w:ilvl w:val="0"/>
          <w:numId w:val="23"/>
        </w:numPr>
        <w:shd w:val="clear" w:color="auto" w:fill="FEFEFE"/>
        <w:spacing w:after="0"/>
        <w:ind w:left="567" w:hanging="567"/>
        <w:rPr>
          <w:rFonts w:eastAsia="Times New Roman" w:cstheme="minorHAnsi"/>
          <w:color w:val="3A3C39"/>
        </w:rPr>
      </w:pPr>
      <w:r>
        <w:rPr>
          <w:rFonts w:eastAsia="Times New Roman" w:cstheme="minorHAnsi"/>
          <w:color w:val="3A3C39"/>
        </w:rPr>
        <w:t xml:space="preserve">Completed Module Review Reports require to be signed off by the Head of Division (or equivalent) and then uploaded to the institutional </w:t>
      </w:r>
      <w:hyperlink r:id="rId17" w:history="1">
        <w:r w:rsidRPr="004D45E3">
          <w:rPr>
            <w:rStyle w:val="Hyperlink"/>
            <w:rFonts w:eastAsia="Times New Roman" w:cstheme="minorHAnsi"/>
          </w:rPr>
          <w:t>Quality Monitoring Repository Sharepoint site</w:t>
        </w:r>
      </w:hyperlink>
      <w:r w:rsidRPr="002A67F4">
        <w:rPr>
          <w:rFonts w:eastAsia="Times New Roman" w:cstheme="minorHAnsi"/>
          <w:color w:val="3A3C39"/>
        </w:rPr>
        <w:t>.</w:t>
      </w:r>
    </w:p>
    <w:p w14:paraId="7DA1B887" w14:textId="77777777" w:rsidR="007414D3" w:rsidRPr="00960EAD" w:rsidRDefault="007414D3" w:rsidP="007414D3">
      <w:pPr>
        <w:pStyle w:val="ListParagraph"/>
        <w:rPr>
          <w:rFonts w:eastAsia="Times New Roman" w:cstheme="minorHAnsi"/>
          <w:color w:val="3A3C39"/>
        </w:rPr>
      </w:pPr>
    </w:p>
    <w:p w14:paraId="40311259" w14:textId="77777777" w:rsidR="007414D3" w:rsidRDefault="007414D3" w:rsidP="007414D3">
      <w:pPr>
        <w:pStyle w:val="ListParagraph"/>
        <w:numPr>
          <w:ilvl w:val="0"/>
          <w:numId w:val="23"/>
        </w:numPr>
        <w:shd w:val="clear" w:color="auto" w:fill="FEFEFE"/>
        <w:spacing w:after="0"/>
        <w:ind w:left="567" w:hanging="567"/>
        <w:rPr>
          <w:rFonts w:eastAsia="Times New Roman"/>
          <w:color w:val="3A3C39"/>
        </w:rPr>
      </w:pPr>
      <w:r w:rsidRPr="3EDD101F">
        <w:rPr>
          <w:rFonts w:eastAsia="Times New Roman"/>
          <w:color w:val="3A3C39"/>
        </w:rPr>
        <w:t xml:space="preserve">Each semester the outcomes of Module Review should be considered and discussed by the relevant Divisional </w:t>
      </w:r>
      <w:r>
        <w:rPr>
          <w:rFonts w:eastAsia="Times New Roman"/>
          <w:color w:val="3A3C39"/>
        </w:rPr>
        <w:t>C</w:t>
      </w:r>
      <w:r w:rsidRPr="3EDD101F">
        <w:rPr>
          <w:rFonts w:eastAsia="Times New Roman"/>
          <w:color w:val="3A3C39"/>
        </w:rPr>
        <w:t>ommittee (or equivalent).  Key outcomes, including any plans for enhancement, should be reported to the Student Staff Consultative Committee.</w:t>
      </w:r>
    </w:p>
    <w:p w14:paraId="3599AB30" w14:textId="77777777" w:rsidR="007414D3" w:rsidRDefault="007414D3" w:rsidP="007414D3">
      <w:pPr>
        <w:shd w:val="clear" w:color="auto" w:fill="FEFEFE"/>
        <w:spacing w:after="0"/>
        <w:rPr>
          <w:rFonts w:eastAsia="Times New Roman"/>
          <w:color w:val="3A3C39"/>
        </w:rPr>
      </w:pPr>
    </w:p>
    <w:p w14:paraId="63491585" w14:textId="77777777" w:rsidR="007414D3" w:rsidRPr="00CB0B1F" w:rsidRDefault="007414D3" w:rsidP="007414D3">
      <w:pPr>
        <w:pStyle w:val="ListParagraph"/>
        <w:numPr>
          <w:ilvl w:val="0"/>
          <w:numId w:val="23"/>
        </w:numPr>
        <w:shd w:val="clear" w:color="auto" w:fill="FEFEFE"/>
        <w:spacing w:after="0"/>
        <w:ind w:left="567" w:hanging="567"/>
        <w:rPr>
          <w:rFonts w:eastAsiaTheme="minorHAnsi"/>
          <w:color w:val="3A3C39"/>
        </w:rPr>
      </w:pPr>
      <w:r>
        <w:rPr>
          <w:rFonts w:eastAsia="Times New Roman"/>
          <w:color w:val="3A3C39"/>
        </w:rPr>
        <w:lastRenderedPageBreak/>
        <w:t>T</w:t>
      </w:r>
      <w:r w:rsidRPr="3DD9D8BD">
        <w:rPr>
          <w:rFonts w:eastAsia="Times New Roman"/>
          <w:color w:val="3A3C39"/>
        </w:rPr>
        <w:t xml:space="preserve">he Dean of Faculty has overall responsibility for ensuring that appropriate </w:t>
      </w:r>
      <w:r w:rsidRPr="79E2C81A">
        <w:rPr>
          <w:rFonts w:eastAsia="Times New Roman"/>
          <w:color w:val="3A3C39"/>
        </w:rPr>
        <w:t>follow</w:t>
      </w:r>
      <w:r>
        <w:rPr>
          <w:rFonts w:eastAsia="Times New Roman"/>
          <w:color w:val="3A3C39"/>
        </w:rPr>
        <w:t>-</w:t>
      </w:r>
      <w:r w:rsidRPr="3DD9D8BD">
        <w:rPr>
          <w:rFonts w:eastAsia="Times New Roman"/>
          <w:color w:val="3A3C39"/>
        </w:rPr>
        <w:t xml:space="preserve">up activity is </w:t>
      </w:r>
      <w:r w:rsidRPr="48301E7F">
        <w:rPr>
          <w:rFonts w:eastAsia="Times New Roman"/>
          <w:color w:val="3A3C39"/>
        </w:rPr>
        <w:t>taken</w:t>
      </w:r>
      <w:r>
        <w:rPr>
          <w:rFonts w:eastAsia="Times New Roman"/>
          <w:color w:val="3A3C39"/>
        </w:rPr>
        <w:t xml:space="preserve"> and can choose to assign accountability as appropriate within the Faculty </w:t>
      </w:r>
      <w:r w:rsidRPr="6424F18B">
        <w:rPr>
          <w:rFonts w:eastAsia="Times New Roman"/>
          <w:color w:val="3A3C39"/>
        </w:rPr>
        <w:t xml:space="preserve">to ensure this </w:t>
      </w:r>
      <w:r w:rsidRPr="65F7D803">
        <w:rPr>
          <w:rFonts w:eastAsia="Times New Roman"/>
          <w:color w:val="3A3C39"/>
        </w:rPr>
        <w:t xml:space="preserve">is </w:t>
      </w:r>
      <w:r w:rsidRPr="7EAEB159">
        <w:rPr>
          <w:rFonts w:eastAsia="Times New Roman"/>
          <w:color w:val="3A3C39"/>
        </w:rPr>
        <w:t>progressed.</w:t>
      </w:r>
      <w:r w:rsidRPr="65F7D803">
        <w:rPr>
          <w:rFonts w:eastAsia="Times New Roman"/>
          <w:color w:val="3A3C39"/>
        </w:rPr>
        <w:t xml:space="preserve"> </w:t>
      </w:r>
    </w:p>
    <w:p w14:paraId="05CB7B4B" w14:textId="77777777" w:rsidR="007414D3" w:rsidRPr="00CB0B1F" w:rsidRDefault="007414D3" w:rsidP="007414D3">
      <w:pPr>
        <w:pStyle w:val="ListParagraph"/>
        <w:rPr>
          <w:color w:val="3A3C39"/>
        </w:rPr>
      </w:pPr>
    </w:p>
    <w:p w14:paraId="6A4595E7" w14:textId="1AC33974" w:rsidR="007414D3" w:rsidRPr="00CB0B1F" w:rsidRDefault="00316DBA" w:rsidP="007414D3">
      <w:pPr>
        <w:pStyle w:val="ListParagraph"/>
        <w:numPr>
          <w:ilvl w:val="0"/>
          <w:numId w:val="23"/>
        </w:numPr>
        <w:shd w:val="clear" w:color="auto" w:fill="FEFEFE"/>
        <w:spacing w:after="0"/>
        <w:ind w:left="567" w:hanging="567"/>
        <w:outlineLvl w:val="1"/>
        <w:rPr>
          <w:rFonts w:eastAsia="Times New Roman" w:cstheme="minorHAnsi"/>
          <w:color w:val="006938"/>
        </w:rPr>
      </w:pPr>
      <w:hyperlink w:anchor="_Appendix_1_–" w:history="1">
        <w:r w:rsidR="007414D3" w:rsidRPr="006B3F71">
          <w:rPr>
            <w:rStyle w:val="Hyperlink"/>
            <w:rFonts w:eastAsia="Times New Roman"/>
          </w:rPr>
          <w:t>Appendix 1</w:t>
        </w:r>
      </w:hyperlink>
      <w:r w:rsidR="007414D3" w:rsidRPr="000F2AFE">
        <w:rPr>
          <w:rFonts w:eastAsia="Times New Roman"/>
          <w:color w:val="3A3C39"/>
        </w:rPr>
        <w:t xml:space="preserve"> summarises the overall timeline for Module Review and Annual Programme Monitoring to take place.</w:t>
      </w:r>
    </w:p>
    <w:p w14:paraId="0A94BED3" w14:textId="77777777" w:rsidR="007414D3" w:rsidRDefault="007414D3" w:rsidP="007414D3">
      <w:pPr>
        <w:shd w:val="clear" w:color="auto" w:fill="FEFEFE"/>
        <w:spacing w:after="0"/>
        <w:ind w:left="567"/>
        <w:rPr>
          <w:rFonts w:eastAsia="Times New Roman"/>
          <w:color w:val="3A3C39"/>
        </w:rPr>
      </w:pPr>
    </w:p>
    <w:p w14:paraId="07695A74" w14:textId="77777777" w:rsidR="007414D3" w:rsidRDefault="007414D3" w:rsidP="007414D3">
      <w:pPr>
        <w:shd w:val="clear" w:color="auto" w:fill="FEFEFE"/>
        <w:spacing w:after="0"/>
        <w:ind w:left="567"/>
        <w:rPr>
          <w:rFonts w:eastAsia="Times New Roman"/>
          <w:color w:val="3A3C39"/>
        </w:rPr>
      </w:pPr>
    </w:p>
    <w:p w14:paraId="6FBFD7A6" w14:textId="77777777" w:rsidR="007414D3" w:rsidRPr="00BE7340" w:rsidRDefault="007414D3" w:rsidP="00BE7340">
      <w:pPr>
        <w:pStyle w:val="Heading1"/>
        <w:rPr>
          <w:rFonts w:eastAsia="Times New Roman"/>
          <w:b/>
          <w:bCs/>
          <w:color w:val="auto"/>
          <w:sz w:val="28"/>
          <w:szCs w:val="28"/>
          <w:lang w:val="en-US"/>
        </w:rPr>
      </w:pPr>
      <w:bookmarkStart w:id="2" w:name="_Annual_Programme_Monitoring"/>
      <w:bookmarkEnd w:id="2"/>
      <w:r w:rsidRPr="00BE7340">
        <w:rPr>
          <w:rFonts w:eastAsia="Times New Roman"/>
          <w:b/>
          <w:bCs/>
          <w:color w:val="auto"/>
          <w:sz w:val="28"/>
          <w:szCs w:val="28"/>
          <w:lang w:val="en-US"/>
        </w:rPr>
        <w:t>Annual Programme Monitoring</w:t>
      </w:r>
    </w:p>
    <w:p w14:paraId="2DC0EE65" w14:textId="77777777" w:rsidR="007414D3" w:rsidRDefault="007414D3" w:rsidP="007414D3">
      <w:pPr>
        <w:shd w:val="clear" w:color="auto" w:fill="FEFEFE"/>
        <w:spacing w:after="0"/>
        <w:rPr>
          <w:rFonts w:eastAsia="Times New Roman" w:cstheme="minorHAnsi"/>
          <w:b/>
          <w:bCs/>
          <w:color w:val="3A3C39"/>
        </w:rPr>
      </w:pPr>
    </w:p>
    <w:p w14:paraId="5D867287" w14:textId="38312536" w:rsidR="007414D3" w:rsidRDefault="007414D3" w:rsidP="007414D3">
      <w:pPr>
        <w:pStyle w:val="ListParagraph"/>
        <w:numPr>
          <w:ilvl w:val="0"/>
          <w:numId w:val="23"/>
        </w:numPr>
        <w:shd w:val="clear" w:color="auto" w:fill="FEFEFE"/>
        <w:spacing w:after="0"/>
        <w:ind w:left="567" w:hanging="567"/>
        <w:rPr>
          <w:rFonts w:eastAsia="Times New Roman"/>
          <w:color w:val="3A3C39"/>
        </w:rPr>
      </w:pPr>
      <w:r w:rsidRPr="3EDD101F">
        <w:rPr>
          <w:rFonts w:eastAsia="Times New Roman"/>
          <w:color w:val="3A3C39"/>
        </w:rPr>
        <w:t>Annual Programme Monitoring takes place at the end of each academic year and is required for all approved programmes</w:t>
      </w:r>
      <w:r w:rsidR="00A84C24">
        <w:rPr>
          <w:rFonts w:eastAsia="Times New Roman"/>
          <w:color w:val="3A3C39"/>
        </w:rPr>
        <w:t xml:space="preserve">, </w:t>
      </w:r>
      <w:r>
        <w:rPr>
          <w:rFonts w:eastAsia="Times New Roman"/>
          <w:color w:val="3A3C39"/>
        </w:rPr>
        <w:t xml:space="preserve">including </w:t>
      </w:r>
      <w:r w:rsidR="00A84C24">
        <w:rPr>
          <w:rFonts w:eastAsia="Times New Roman"/>
          <w:color w:val="3A3C39"/>
        </w:rPr>
        <w:t xml:space="preserve">combined honours programmes and </w:t>
      </w:r>
      <w:r>
        <w:rPr>
          <w:rFonts w:eastAsia="Times New Roman"/>
          <w:color w:val="3A3C39"/>
        </w:rPr>
        <w:t>suspended programmes</w:t>
      </w:r>
      <w:r w:rsidRPr="3EDD101F">
        <w:rPr>
          <w:rFonts w:eastAsia="Times New Roman"/>
          <w:color w:val="3A3C39"/>
        </w:rPr>
        <w:t xml:space="preserve">. </w:t>
      </w:r>
    </w:p>
    <w:p w14:paraId="09E49D15" w14:textId="77777777" w:rsidR="007414D3" w:rsidRDefault="007414D3" w:rsidP="007414D3">
      <w:pPr>
        <w:pStyle w:val="ListParagraph"/>
        <w:shd w:val="clear" w:color="auto" w:fill="FEFEFE"/>
        <w:spacing w:after="0"/>
        <w:ind w:left="567"/>
        <w:rPr>
          <w:rFonts w:eastAsia="Times New Roman" w:cstheme="minorHAnsi"/>
          <w:color w:val="3A3C39"/>
        </w:rPr>
      </w:pPr>
    </w:p>
    <w:p w14:paraId="226AE1A8" w14:textId="77777777" w:rsidR="007414D3" w:rsidRDefault="007414D3" w:rsidP="007414D3">
      <w:pPr>
        <w:pStyle w:val="ListParagraph"/>
        <w:numPr>
          <w:ilvl w:val="0"/>
          <w:numId w:val="23"/>
        </w:numPr>
        <w:shd w:val="clear" w:color="auto" w:fill="FEFEFE"/>
        <w:spacing w:after="0"/>
        <w:ind w:left="567" w:hanging="567"/>
        <w:rPr>
          <w:rFonts w:eastAsia="Times New Roman"/>
          <w:color w:val="3A3C39"/>
        </w:rPr>
      </w:pPr>
      <w:r w:rsidRPr="3EDD101F">
        <w:rPr>
          <w:rFonts w:eastAsia="Times New Roman"/>
          <w:color w:val="3A3C39"/>
        </w:rPr>
        <w:t xml:space="preserve">The purpose of Annual Programme Monitoring is to consider objectively: whether the programme continues to be well designed and is of high quality and consistent with national qualification frameworks; whether assessment arrangements are reliable; student attainment, whether students are achieving threshold standards and the intended learning outcomes; support available to students; student feedback. </w:t>
      </w:r>
    </w:p>
    <w:p w14:paraId="795FB841" w14:textId="77777777" w:rsidR="007414D3" w:rsidRPr="00C12CDF" w:rsidRDefault="007414D3" w:rsidP="007414D3">
      <w:pPr>
        <w:pStyle w:val="ListParagraph"/>
        <w:rPr>
          <w:rFonts w:eastAsia="Times New Roman" w:cstheme="minorHAnsi"/>
          <w:color w:val="3A3C39"/>
        </w:rPr>
      </w:pPr>
    </w:p>
    <w:p w14:paraId="682C87BA" w14:textId="23B6DF6F" w:rsidR="007414D3" w:rsidRDefault="007414D3" w:rsidP="007414D3">
      <w:pPr>
        <w:pStyle w:val="ListParagraph"/>
        <w:numPr>
          <w:ilvl w:val="0"/>
          <w:numId w:val="23"/>
        </w:numPr>
        <w:shd w:val="clear" w:color="auto" w:fill="FEFEFE"/>
        <w:spacing w:after="0"/>
        <w:ind w:left="567" w:hanging="567"/>
        <w:rPr>
          <w:rFonts w:eastAsia="Times New Roman"/>
          <w:color w:val="3A3C39"/>
        </w:rPr>
      </w:pPr>
      <w:r w:rsidRPr="3EDD101F">
        <w:rPr>
          <w:rFonts w:eastAsia="Times New Roman"/>
          <w:color w:val="3A3C39"/>
        </w:rPr>
        <w:t xml:space="preserve">Programme Directors have responsibility for monitoring all the programmes for which they are Programme </w:t>
      </w:r>
      <w:proofErr w:type="gramStart"/>
      <w:r w:rsidRPr="3EDD101F">
        <w:rPr>
          <w:rFonts w:eastAsia="Times New Roman"/>
          <w:color w:val="3A3C39"/>
        </w:rPr>
        <w:t>Director, and</w:t>
      </w:r>
      <w:proofErr w:type="gramEnd"/>
      <w:r w:rsidRPr="3EDD101F">
        <w:rPr>
          <w:rFonts w:eastAsia="Times New Roman"/>
          <w:color w:val="3A3C39"/>
        </w:rPr>
        <w:t xml:space="preserve"> seeking input from other Programme Directors </w:t>
      </w:r>
      <w:r w:rsidR="00175146">
        <w:rPr>
          <w:rFonts w:eastAsia="Times New Roman"/>
          <w:color w:val="3A3C39"/>
        </w:rPr>
        <w:t xml:space="preserve">/ colleagues </w:t>
      </w:r>
      <w:r w:rsidRPr="3EDD101F">
        <w:rPr>
          <w:rFonts w:eastAsia="Times New Roman"/>
          <w:color w:val="3A3C39"/>
        </w:rPr>
        <w:t xml:space="preserve">as appropriate for </w:t>
      </w:r>
      <w:r w:rsidR="00175146">
        <w:rPr>
          <w:rFonts w:eastAsia="Times New Roman"/>
          <w:color w:val="3A3C39"/>
        </w:rPr>
        <w:t xml:space="preserve">the </w:t>
      </w:r>
      <w:r w:rsidRPr="3EDD101F">
        <w:rPr>
          <w:rFonts w:eastAsia="Times New Roman"/>
          <w:color w:val="3A3C39"/>
        </w:rPr>
        <w:t xml:space="preserve">monitoring of any combined degree programmes for which they are responsible. For approved programmes that are currently suspended, consideration should be given to these programmes through the Annual Programme Monitoring process as to </w:t>
      </w:r>
      <w:proofErr w:type="gramStart"/>
      <w:r w:rsidRPr="3EDD101F">
        <w:rPr>
          <w:rFonts w:eastAsia="Times New Roman"/>
          <w:color w:val="3A3C39"/>
        </w:rPr>
        <w:t>whether or not</w:t>
      </w:r>
      <w:proofErr w:type="gramEnd"/>
      <w:r w:rsidRPr="3EDD101F">
        <w:rPr>
          <w:rFonts w:eastAsia="Times New Roman"/>
          <w:color w:val="3A3C39"/>
        </w:rPr>
        <w:t xml:space="preserve"> the programme is to be reinstated. As specified in the </w:t>
      </w:r>
      <w:hyperlink r:id="rId18" w:history="1">
        <w:r w:rsidRPr="00A173DE">
          <w:rPr>
            <w:rStyle w:val="Hyperlink"/>
            <w:rFonts w:eastAsia="Times New Roman"/>
          </w:rPr>
          <w:t>Curriculum Development and Management Procedure</w:t>
        </w:r>
      </w:hyperlink>
      <w:r w:rsidRPr="3EDD101F">
        <w:rPr>
          <w:rFonts w:eastAsia="Times New Roman"/>
          <w:color w:val="3A3C39"/>
        </w:rPr>
        <w:t xml:space="preserve">, a programme can only be suspended for a maximum period of one year, after which the suspension must be considered again and if the Faculty does not wish to resume offering the programme, it should be formally withdrawn, in line with the procedure.  </w:t>
      </w:r>
    </w:p>
    <w:p w14:paraId="0F5FDCFD" w14:textId="77777777" w:rsidR="007414D3" w:rsidRPr="00C666EC" w:rsidRDefault="007414D3" w:rsidP="007414D3">
      <w:pPr>
        <w:pStyle w:val="ListParagraph"/>
        <w:rPr>
          <w:rFonts w:eastAsia="Times New Roman" w:cstheme="minorHAnsi"/>
          <w:color w:val="3A3C39"/>
        </w:rPr>
      </w:pPr>
    </w:p>
    <w:p w14:paraId="6BAD9765" w14:textId="77777777" w:rsidR="007414D3" w:rsidRPr="00CA3A75" w:rsidRDefault="007414D3" w:rsidP="007414D3">
      <w:pPr>
        <w:pStyle w:val="ListParagraph"/>
        <w:numPr>
          <w:ilvl w:val="0"/>
          <w:numId w:val="23"/>
        </w:numPr>
        <w:shd w:val="clear" w:color="auto" w:fill="FEFEFE"/>
        <w:spacing w:after="0"/>
        <w:ind w:left="567" w:hanging="567"/>
        <w:rPr>
          <w:rFonts w:eastAsia="Times New Roman"/>
          <w:color w:val="3A3C39"/>
        </w:rPr>
      </w:pPr>
      <w:r w:rsidRPr="3EDD101F">
        <w:rPr>
          <w:rFonts w:eastAsia="Times New Roman"/>
          <w:color w:val="3A3C39"/>
        </w:rPr>
        <w:t xml:space="preserve">The Programme Director should collate and review data on student attainment outcomes on the programme; consider the outcomes of Module Review; consider the comments of External Examiners provided via the Awards Board; and consider relevant student feedback from the National Student Survey (NSS) / Postgraduate Taught Experience Survey (PTES). </w:t>
      </w:r>
    </w:p>
    <w:p w14:paraId="7D95F473" w14:textId="77777777" w:rsidR="007414D3" w:rsidRPr="0039335D" w:rsidRDefault="007414D3" w:rsidP="007414D3">
      <w:pPr>
        <w:pStyle w:val="ListParagraph"/>
        <w:rPr>
          <w:rFonts w:eastAsia="Times New Roman" w:cstheme="minorHAnsi"/>
          <w:color w:val="3A3C39"/>
        </w:rPr>
      </w:pPr>
    </w:p>
    <w:p w14:paraId="7CCFDC3B" w14:textId="77777777" w:rsidR="007414D3" w:rsidRDefault="007414D3" w:rsidP="007414D3">
      <w:pPr>
        <w:pStyle w:val="ListParagraph"/>
        <w:numPr>
          <w:ilvl w:val="0"/>
          <w:numId w:val="23"/>
        </w:numPr>
        <w:shd w:val="clear" w:color="auto" w:fill="FEFEFE"/>
        <w:spacing w:after="0"/>
        <w:ind w:left="567" w:hanging="567"/>
        <w:rPr>
          <w:rFonts w:eastAsia="Times New Roman"/>
          <w:color w:val="3A3C39"/>
        </w:rPr>
      </w:pPr>
      <w:r w:rsidRPr="3EDD101F">
        <w:rPr>
          <w:rFonts w:eastAsia="Times New Roman"/>
          <w:color w:val="3A3C39"/>
        </w:rPr>
        <w:t xml:space="preserve">In addition, the Programme Director should consider the attainment data, the feedback from students and External Examiners, and taking account of this consideration, undertake an overall reflection of the performance of the programme and any enhancements or amendments to the programme that require to be progressed </w:t>
      </w:r>
      <w:proofErr w:type="gramStart"/>
      <w:r w:rsidRPr="3EDD101F">
        <w:rPr>
          <w:rFonts w:eastAsia="Times New Roman"/>
          <w:color w:val="3A3C39"/>
        </w:rPr>
        <w:t>in order to</w:t>
      </w:r>
      <w:proofErr w:type="gramEnd"/>
      <w:r w:rsidRPr="3EDD101F">
        <w:rPr>
          <w:rFonts w:eastAsia="Times New Roman"/>
          <w:color w:val="3A3C39"/>
        </w:rPr>
        <w:t xml:space="preserve"> ensure continuing appropriateness and quality of student learning experience. This reflection should include matters such as: programme content; assessment approaches; student achievement of learning outcomes; any professional accreditation requirements.</w:t>
      </w:r>
    </w:p>
    <w:p w14:paraId="4D40B865" w14:textId="77777777" w:rsidR="007414D3" w:rsidRPr="00201897" w:rsidRDefault="007414D3" w:rsidP="007414D3">
      <w:pPr>
        <w:pStyle w:val="ListParagraph"/>
        <w:rPr>
          <w:rFonts w:eastAsia="Times New Roman" w:cstheme="minorHAnsi"/>
          <w:color w:val="3A3C39"/>
        </w:rPr>
      </w:pPr>
    </w:p>
    <w:p w14:paraId="46EEE95C" w14:textId="52285002" w:rsidR="007414D3" w:rsidRPr="006D076B" w:rsidRDefault="007414D3" w:rsidP="006D076B">
      <w:pPr>
        <w:pStyle w:val="ListParagraph"/>
        <w:numPr>
          <w:ilvl w:val="0"/>
          <w:numId w:val="23"/>
        </w:numPr>
        <w:shd w:val="clear" w:color="auto" w:fill="FEFEFE"/>
        <w:spacing w:after="0"/>
        <w:ind w:left="567" w:hanging="567"/>
        <w:rPr>
          <w:rFonts w:eastAsia="Times New Roman"/>
          <w:color w:val="3A3C39"/>
        </w:rPr>
      </w:pPr>
      <w:r w:rsidRPr="3EDD101F">
        <w:rPr>
          <w:rFonts w:eastAsia="Times New Roman"/>
          <w:color w:val="3A3C39"/>
        </w:rPr>
        <w:t xml:space="preserve">The Annual Programme Monitoring Report form should be completed to record: </w:t>
      </w:r>
      <w:r w:rsidRPr="006D076B">
        <w:rPr>
          <w:rFonts w:eastAsia="Times New Roman"/>
          <w:color w:val="3A3C39"/>
        </w:rPr>
        <w:t xml:space="preserve">data on student attainment; key reflections on the feedback from students and External Examiners; </w:t>
      </w:r>
      <w:r w:rsidR="007E4F50">
        <w:rPr>
          <w:rFonts w:eastAsia="Times New Roman"/>
          <w:color w:val="3A3C39"/>
        </w:rPr>
        <w:t xml:space="preserve">key reflections on the </w:t>
      </w:r>
      <w:r w:rsidR="005B6089">
        <w:rPr>
          <w:rFonts w:eastAsia="Times New Roman"/>
          <w:color w:val="3A3C39"/>
        </w:rPr>
        <w:t>programme</w:t>
      </w:r>
      <w:r w:rsidRPr="006D076B">
        <w:rPr>
          <w:rFonts w:eastAsia="Times New Roman"/>
          <w:color w:val="3A3C39"/>
        </w:rPr>
        <w:t>; enhancements or amendments planned along with corresponding timescales for implementation.</w:t>
      </w:r>
    </w:p>
    <w:p w14:paraId="567B5320" w14:textId="77777777" w:rsidR="007414D3" w:rsidRPr="001C5006" w:rsidRDefault="007414D3" w:rsidP="007414D3">
      <w:pPr>
        <w:pStyle w:val="ListParagraph"/>
        <w:rPr>
          <w:rFonts w:eastAsia="Times New Roman" w:cstheme="minorHAnsi"/>
          <w:color w:val="3A3C39"/>
        </w:rPr>
      </w:pPr>
    </w:p>
    <w:p w14:paraId="4CA61EEF" w14:textId="29BED7CC" w:rsidR="00D05D8D" w:rsidRDefault="00D05D8D" w:rsidP="007414D3">
      <w:pPr>
        <w:pStyle w:val="ListParagraph"/>
        <w:numPr>
          <w:ilvl w:val="0"/>
          <w:numId w:val="23"/>
        </w:numPr>
        <w:shd w:val="clear" w:color="auto" w:fill="FEFEFE"/>
        <w:spacing w:after="0"/>
        <w:ind w:left="567" w:hanging="567"/>
        <w:rPr>
          <w:rFonts w:eastAsia="Times New Roman"/>
          <w:color w:val="3A3C39"/>
        </w:rPr>
      </w:pPr>
      <w:r>
        <w:rPr>
          <w:rFonts w:eastAsia="Times New Roman"/>
          <w:color w:val="3A3C39"/>
        </w:rPr>
        <w:t xml:space="preserve">In the year following </w:t>
      </w:r>
      <w:r w:rsidR="00CF3A60">
        <w:rPr>
          <w:rFonts w:eastAsia="Times New Roman"/>
          <w:color w:val="3A3C39"/>
        </w:rPr>
        <w:t xml:space="preserve">a Quinquennial Learning and Teaching Review, </w:t>
      </w:r>
      <w:r w:rsidR="005C5747">
        <w:rPr>
          <w:rFonts w:eastAsia="Times New Roman"/>
          <w:color w:val="3A3C39"/>
        </w:rPr>
        <w:t xml:space="preserve">updates on progress relevant to the recommendations </w:t>
      </w:r>
      <w:r w:rsidR="00F84D41">
        <w:rPr>
          <w:rFonts w:eastAsia="Times New Roman"/>
          <w:color w:val="3A3C39"/>
        </w:rPr>
        <w:t xml:space="preserve">that resulted from the review </w:t>
      </w:r>
      <w:r w:rsidR="00056AC6">
        <w:rPr>
          <w:rFonts w:eastAsia="Times New Roman"/>
          <w:color w:val="3A3C39"/>
        </w:rPr>
        <w:t>should be included as appropriate within the Annual Programme Monitoring Report form.</w:t>
      </w:r>
    </w:p>
    <w:p w14:paraId="1BFDA486" w14:textId="77777777" w:rsidR="00D05D8D" w:rsidRPr="00D05D8D" w:rsidRDefault="00D05D8D" w:rsidP="00D05D8D">
      <w:pPr>
        <w:pStyle w:val="ListParagraph"/>
        <w:rPr>
          <w:rFonts w:eastAsia="Times New Roman"/>
          <w:color w:val="3A3C39"/>
        </w:rPr>
      </w:pPr>
    </w:p>
    <w:p w14:paraId="5430D142" w14:textId="29B2D51A" w:rsidR="007414D3" w:rsidRDefault="007414D3" w:rsidP="007414D3">
      <w:pPr>
        <w:pStyle w:val="ListParagraph"/>
        <w:numPr>
          <w:ilvl w:val="0"/>
          <w:numId w:val="23"/>
        </w:numPr>
        <w:shd w:val="clear" w:color="auto" w:fill="FEFEFE"/>
        <w:spacing w:after="0"/>
        <w:ind w:left="567" w:hanging="567"/>
        <w:rPr>
          <w:rFonts w:eastAsia="Times New Roman"/>
          <w:color w:val="3A3C39"/>
        </w:rPr>
      </w:pPr>
      <w:r w:rsidRPr="00D1421D">
        <w:rPr>
          <w:rFonts w:eastAsia="Times New Roman"/>
          <w:color w:val="3A3C39"/>
        </w:rPr>
        <w:t xml:space="preserve">The Programme Director should </w:t>
      </w:r>
      <w:r w:rsidR="00F454A1">
        <w:rPr>
          <w:rFonts w:eastAsia="Times New Roman"/>
          <w:color w:val="3A3C39"/>
        </w:rPr>
        <w:t xml:space="preserve">have </w:t>
      </w:r>
      <w:r w:rsidRPr="00D1421D">
        <w:rPr>
          <w:rFonts w:eastAsia="Times New Roman"/>
          <w:color w:val="3A3C39"/>
        </w:rPr>
        <w:t xml:space="preserve">the completed Annual Programme Monitoring Report </w:t>
      </w:r>
      <w:r w:rsidR="00F454A1">
        <w:rPr>
          <w:rFonts w:eastAsia="Times New Roman"/>
          <w:color w:val="3A3C39"/>
        </w:rPr>
        <w:t xml:space="preserve">signed off by the Associate Dean for Learning and Teaching (ADLT) and then submit </w:t>
      </w:r>
      <w:r w:rsidR="00BF3537">
        <w:rPr>
          <w:rFonts w:eastAsia="Times New Roman"/>
          <w:color w:val="3A3C39"/>
        </w:rPr>
        <w:t xml:space="preserve">it </w:t>
      </w:r>
      <w:r w:rsidRPr="00D1421D">
        <w:rPr>
          <w:rFonts w:eastAsia="Times New Roman"/>
          <w:color w:val="3A3C39"/>
        </w:rPr>
        <w:t>to the Faculty Learning and Teaching Committee at the end of October for undergraduate programmes and the end of February for postgraduate programmes.  Annual Programme Review reports are considered at the Faculty’s Learning and Teaching Committee (or equivalent). Key outcomes, including any plans for enhancement, should be reported to the Student Staff Consultative Committee</w:t>
      </w:r>
      <w:r>
        <w:rPr>
          <w:rFonts w:eastAsia="Times New Roman"/>
          <w:color w:val="3A3C39"/>
        </w:rPr>
        <w:t>.</w:t>
      </w:r>
    </w:p>
    <w:p w14:paraId="6FD8BA9F" w14:textId="77777777" w:rsidR="007414D3" w:rsidRPr="008D2D0E" w:rsidRDefault="007414D3" w:rsidP="007414D3">
      <w:pPr>
        <w:pStyle w:val="ListParagraph"/>
        <w:rPr>
          <w:rFonts w:eastAsia="Times New Roman"/>
          <w:color w:val="3A3C39"/>
        </w:rPr>
      </w:pPr>
    </w:p>
    <w:p w14:paraId="687C6A4F" w14:textId="495CB231" w:rsidR="007414D3" w:rsidRPr="008D2D0E" w:rsidRDefault="007414D3" w:rsidP="007414D3">
      <w:pPr>
        <w:pStyle w:val="ListParagraph"/>
        <w:numPr>
          <w:ilvl w:val="0"/>
          <w:numId w:val="23"/>
        </w:numPr>
        <w:shd w:val="clear" w:color="auto" w:fill="FEFEFE"/>
        <w:spacing w:after="0"/>
        <w:ind w:left="567" w:hanging="567"/>
        <w:rPr>
          <w:rFonts w:eastAsia="Times New Roman" w:cstheme="minorHAnsi"/>
          <w:color w:val="3A3C39"/>
        </w:rPr>
      </w:pPr>
      <w:r>
        <w:rPr>
          <w:rFonts w:eastAsia="Times New Roman"/>
          <w:color w:val="3A3C39"/>
        </w:rPr>
        <w:t xml:space="preserve">All completed Annual Programme Monitoring Report forms are required to be </w:t>
      </w:r>
      <w:r>
        <w:rPr>
          <w:rFonts w:eastAsia="Times New Roman" w:cstheme="minorHAnsi"/>
          <w:color w:val="3A3C39"/>
        </w:rPr>
        <w:t xml:space="preserve">uploaded to the institutional </w:t>
      </w:r>
      <w:hyperlink r:id="rId19" w:history="1">
        <w:r w:rsidRPr="004D45E3">
          <w:rPr>
            <w:rStyle w:val="Hyperlink"/>
            <w:rFonts w:eastAsia="Times New Roman" w:cstheme="minorHAnsi"/>
          </w:rPr>
          <w:t>Quality Monitoring Repository Sharepoint site</w:t>
        </w:r>
      </w:hyperlink>
      <w:r w:rsidRPr="004D45E3">
        <w:rPr>
          <w:rFonts w:eastAsia="Times New Roman" w:cstheme="minorHAnsi"/>
          <w:color w:val="3A3C39"/>
        </w:rPr>
        <w:t>.</w:t>
      </w:r>
    </w:p>
    <w:p w14:paraId="08073EFB" w14:textId="77777777" w:rsidR="007414D3" w:rsidRPr="00425D51" w:rsidRDefault="007414D3" w:rsidP="007414D3">
      <w:pPr>
        <w:pStyle w:val="ListParagraph"/>
        <w:rPr>
          <w:rFonts w:eastAsia="Times New Roman" w:cstheme="minorHAnsi"/>
          <w:color w:val="3A3C39"/>
        </w:rPr>
      </w:pPr>
    </w:p>
    <w:p w14:paraId="1907D457" w14:textId="3E32B62D" w:rsidR="007414D3" w:rsidRDefault="007414D3" w:rsidP="007414D3">
      <w:pPr>
        <w:pStyle w:val="ListParagraph"/>
        <w:numPr>
          <w:ilvl w:val="0"/>
          <w:numId w:val="23"/>
        </w:numPr>
        <w:shd w:val="clear" w:color="auto" w:fill="FEFEFE"/>
        <w:spacing w:after="0"/>
        <w:ind w:left="567" w:hanging="567"/>
        <w:rPr>
          <w:rFonts w:eastAsia="Times New Roman"/>
          <w:color w:val="3A3C39"/>
        </w:rPr>
      </w:pPr>
      <w:r w:rsidRPr="3EDD101F">
        <w:rPr>
          <w:rFonts w:eastAsia="Times New Roman"/>
          <w:color w:val="3A3C39"/>
        </w:rPr>
        <w:t xml:space="preserve">Faculties </w:t>
      </w:r>
      <w:r>
        <w:rPr>
          <w:rFonts w:eastAsia="Times New Roman"/>
          <w:color w:val="3A3C39"/>
        </w:rPr>
        <w:t xml:space="preserve">(normally the ADLT) </w:t>
      </w:r>
      <w:r w:rsidRPr="3EDD101F">
        <w:rPr>
          <w:rFonts w:eastAsia="Times New Roman"/>
          <w:color w:val="3A3C39"/>
        </w:rPr>
        <w:t xml:space="preserve">are </w:t>
      </w:r>
      <w:r>
        <w:rPr>
          <w:rFonts w:eastAsia="Times New Roman"/>
          <w:color w:val="3A3C39"/>
        </w:rPr>
        <w:t xml:space="preserve">then </w:t>
      </w:r>
      <w:r w:rsidRPr="3EDD101F">
        <w:rPr>
          <w:rFonts w:eastAsia="Times New Roman"/>
          <w:color w:val="3A3C39"/>
        </w:rPr>
        <w:t xml:space="preserve">required to prepare an Annual Programme Monitoring Summary Report, in line with the report template, and submit to </w:t>
      </w:r>
      <w:hyperlink r:id="rId20">
        <w:r w:rsidRPr="00AC0787">
          <w:rPr>
            <w:rStyle w:val="Hyperlink"/>
            <w:rFonts w:eastAsia="Times New Roman"/>
          </w:rPr>
          <w:t>quality@stir.ac.uk</w:t>
        </w:r>
      </w:hyperlink>
      <w:r w:rsidRPr="00AC0787">
        <w:rPr>
          <w:rFonts w:eastAsia="Times New Roman"/>
          <w:color w:val="3A3C39"/>
        </w:rPr>
        <w:t xml:space="preserve">  at the end of November for undergraduate programmes and the end of </w:t>
      </w:r>
      <w:r>
        <w:rPr>
          <w:rFonts w:eastAsia="Times New Roman"/>
          <w:color w:val="3A3C39"/>
        </w:rPr>
        <w:t>March</w:t>
      </w:r>
      <w:r w:rsidRPr="00AC0787">
        <w:rPr>
          <w:rFonts w:eastAsia="Times New Roman"/>
          <w:color w:val="3A3C39"/>
        </w:rPr>
        <w:t xml:space="preserve"> for postgraduate programmes.</w:t>
      </w:r>
      <w:r w:rsidRPr="3EDD101F">
        <w:rPr>
          <w:rFonts w:eastAsia="Times New Roman"/>
          <w:color w:val="3A3C39"/>
        </w:rPr>
        <w:t xml:space="preserve">  </w:t>
      </w:r>
    </w:p>
    <w:p w14:paraId="5C69C713" w14:textId="77777777" w:rsidR="007414D3" w:rsidRPr="007A79AF" w:rsidRDefault="007414D3" w:rsidP="007414D3">
      <w:pPr>
        <w:pStyle w:val="ListParagraph"/>
        <w:rPr>
          <w:rFonts w:eastAsia="Times New Roman" w:cstheme="minorHAnsi"/>
          <w:color w:val="3A3C39"/>
        </w:rPr>
      </w:pPr>
    </w:p>
    <w:p w14:paraId="610709F4" w14:textId="77777777" w:rsidR="007414D3" w:rsidRDefault="007414D3" w:rsidP="007414D3">
      <w:pPr>
        <w:pStyle w:val="ListParagraph"/>
        <w:numPr>
          <w:ilvl w:val="0"/>
          <w:numId w:val="23"/>
        </w:numPr>
        <w:shd w:val="clear" w:color="auto" w:fill="FEFEFE"/>
        <w:spacing w:after="0"/>
        <w:ind w:left="567" w:hanging="567"/>
        <w:rPr>
          <w:rFonts w:eastAsia="Times New Roman"/>
          <w:color w:val="3A3C39"/>
        </w:rPr>
      </w:pPr>
      <w:r w:rsidRPr="3EDD101F">
        <w:rPr>
          <w:rFonts w:eastAsia="Times New Roman"/>
          <w:color w:val="3A3C39"/>
        </w:rPr>
        <w:t xml:space="preserve">Academic Quality and Governance collates Annual Programme Summary Reports and </w:t>
      </w:r>
      <w:r>
        <w:rPr>
          <w:rFonts w:eastAsia="Times New Roman"/>
          <w:color w:val="3A3C39"/>
        </w:rPr>
        <w:t xml:space="preserve">undertakes an institutional level review of the outcomes. Subsequently, Annual Programme Summary Reports are </w:t>
      </w:r>
      <w:r w:rsidRPr="3EDD101F">
        <w:rPr>
          <w:rFonts w:eastAsia="Times New Roman"/>
          <w:color w:val="3A3C39"/>
        </w:rPr>
        <w:t>submit</w:t>
      </w:r>
      <w:r>
        <w:rPr>
          <w:rFonts w:eastAsia="Times New Roman"/>
          <w:color w:val="3A3C39"/>
        </w:rPr>
        <w:t>ted</w:t>
      </w:r>
      <w:r w:rsidRPr="3EDD101F">
        <w:rPr>
          <w:rFonts w:eastAsia="Times New Roman"/>
          <w:color w:val="3A3C39"/>
        </w:rPr>
        <w:t xml:space="preserve"> to the University Learning, Teaching and Quality Committee</w:t>
      </w:r>
      <w:r>
        <w:rPr>
          <w:rFonts w:eastAsia="Times New Roman"/>
          <w:color w:val="3A3C39"/>
        </w:rPr>
        <w:t xml:space="preserve"> (ULTQC)</w:t>
      </w:r>
      <w:r w:rsidRPr="3EDD101F">
        <w:rPr>
          <w:rFonts w:eastAsia="Times New Roman"/>
          <w:color w:val="3A3C39"/>
        </w:rPr>
        <w:t>,</w:t>
      </w:r>
      <w:r>
        <w:rPr>
          <w:rFonts w:eastAsia="Times New Roman"/>
          <w:color w:val="3A3C39"/>
        </w:rPr>
        <w:t xml:space="preserve"> along with any reflections or outcomes from the institutional level review. ULTQC </w:t>
      </w:r>
      <w:r w:rsidRPr="3EDD101F">
        <w:rPr>
          <w:rFonts w:eastAsia="Times New Roman"/>
          <w:color w:val="3A3C39"/>
        </w:rPr>
        <w:t>has a remit to receive and reflect on the outcomes of Module Review and Annual Programme Monitoring.</w:t>
      </w:r>
    </w:p>
    <w:p w14:paraId="6615BE9D" w14:textId="77777777" w:rsidR="007414D3" w:rsidRPr="00153CD5" w:rsidRDefault="007414D3" w:rsidP="007414D3">
      <w:pPr>
        <w:pStyle w:val="ListParagraph"/>
        <w:rPr>
          <w:rFonts w:eastAsia="Times New Roman" w:cstheme="minorHAnsi"/>
          <w:color w:val="3A3C39"/>
        </w:rPr>
      </w:pPr>
    </w:p>
    <w:p w14:paraId="6B3E793B" w14:textId="77777777" w:rsidR="007414D3" w:rsidRDefault="007414D3" w:rsidP="007414D3">
      <w:pPr>
        <w:pStyle w:val="ListParagraph"/>
        <w:numPr>
          <w:ilvl w:val="0"/>
          <w:numId w:val="23"/>
        </w:numPr>
        <w:shd w:val="clear" w:color="auto" w:fill="FEFEFE"/>
        <w:spacing w:after="0"/>
        <w:ind w:left="567" w:hanging="567"/>
        <w:rPr>
          <w:rFonts w:eastAsia="Times New Roman"/>
          <w:color w:val="3A3C39"/>
        </w:rPr>
      </w:pPr>
      <w:r w:rsidRPr="3EDD101F">
        <w:rPr>
          <w:rFonts w:eastAsia="Times New Roman"/>
          <w:color w:val="3A3C39"/>
        </w:rPr>
        <w:t>The Dean of Faculty, either directly or via a formally nominated individual or committee, is responsible for ensuring that appropriate follow-up action is taken.</w:t>
      </w:r>
    </w:p>
    <w:p w14:paraId="56BDB15C" w14:textId="77777777" w:rsidR="007414D3" w:rsidRPr="00451DC5" w:rsidRDefault="007414D3" w:rsidP="007414D3">
      <w:pPr>
        <w:pStyle w:val="ListParagraph"/>
        <w:rPr>
          <w:rFonts w:eastAsia="Times New Roman" w:cstheme="minorHAnsi"/>
          <w:color w:val="3A3C39"/>
        </w:rPr>
      </w:pPr>
    </w:p>
    <w:p w14:paraId="464A0A09" w14:textId="2432D9B4" w:rsidR="007414D3" w:rsidRPr="000F2AFE" w:rsidRDefault="00316DBA" w:rsidP="007414D3">
      <w:pPr>
        <w:pStyle w:val="ListParagraph"/>
        <w:numPr>
          <w:ilvl w:val="0"/>
          <w:numId w:val="23"/>
        </w:numPr>
        <w:shd w:val="clear" w:color="auto" w:fill="FEFEFE"/>
        <w:spacing w:after="0"/>
        <w:ind w:left="567" w:hanging="567"/>
        <w:outlineLvl w:val="1"/>
        <w:rPr>
          <w:rFonts w:eastAsia="Times New Roman" w:cstheme="minorHAnsi"/>
          <w:color w:val="006938"/>
        </w:rPr>
      </w:pPr>
      <w:hyperlink w:anchor="_Appendix_1_–" w:history="1">
        <w:r w:rsidR="007414D3" w:rsidRPr="006B3F71">
          <w:rPr>
            <w:rStyle w:val="Hyperlink"/>
            <w:rFonts w:eastAsia="Times New Roman"/>
          </w:rPr>
          <w:t>Appendix 1</w:t>
        </w:r>
      </w:hyperlink>
      <w:r w:rsidR="007414D3" w:rsidRPr="000F2AFE">
        <w:rPr>
          <w:rFonts w:eastAsia="Times New Roman"/>
          <w:color w:val="3A3C39"/>
        </w:rPr>
        <w:t xml:space="preserve"> summarises the overall timeline for Module Review and Annual Programme Monitoring to take place.</w:t>
      </w:r>
    </w:p>
    <w:p w14:paraId="216FDF87" w14:textId="77777777" w:rsidR="007414D3" w:rsidRDefault="007414D3" w:rsidP="007414D3">
      <w:pPr>
        <w:shd w:val="clear" w:color="auto" w:fill="FEFEFE"/>
        <w:spacing w:after="0"/>
        <w:outlineLvl w:val="1"/>
        <w:rPr>
          <w:rFonts w:asciiTheme="majorHAnsi" w:eastAsia="Times New Roman" w:hAnsiTheme="majorHAnsi" w:cstheme="majorBidi"/>
          <w:b/>
          <w:color w:val="404040" w:themeColor="text1" w:themeTint="BF"/>
          <w:sz w:val="28"/>
          <w:szCs w:val="28"/>
          <w:lang w:val="en-US"/>
        </w:rPr>
      </w:pPr>
    </w:p>
    <w:p w14:paraId="5BDEF2DE" w14:textId="77777777" w:rsidR="007414D3" w:rsidRPr="00BE7340" w:rsidRDefault="007414D3" w:rsidP="00BE7340">
      <w:pPr>
        <w:pStyle w:val="Heading1"/>
        <w:rPr>
          <w:rFonts w:eastAsia="Times New Roman"/>
          <w:b/>
          <w:bCs/>
          <w:color w:val="auto"/>
          <w:sz w:val="28"/>
          <w:szCs w:val="28"/>
          <w:lang w:val="en-US"/>
        </w:rPr>
      </w:pPr>
      <w:bookmarkStart w:id="3" w:name="_Quinquennial_Learning_and"/>
      <w:bookmarkEnd w:id="3"/>
      <w:r w:rsidRPr="00BE7340">
        <w:rPr>
          <w:rFonts w:eastAsia="Times New Roman"/>
          <w:b/>
          <w:bCs/>
          <w:color w:val="auto"/>
          <w:sz w:val="28"/>
          <w:szCs w:val="28"/>
          <w:lang w:val="en-US"/>
        </w:rPr>
        <w:t>Quinquennial Learning and Teaching Review</w:t>
      </w:r>
    </w:p>
    <w:p w14:paraId="13180AAA" w14:textId="77777777" w:rsidR="007414D3" w:rsidRDefault="007414D3" w:rsidP="007414D3">
      <w:pPr>
        <w:shd w:val="clear" w:color="auto" w:fill="FEFEFE"/>
        <w:spacing w:after="0"/>
        <w:rPr>
          <w:rFonts w:eastAsia="Times New Roman" w:cstheme="minorHAnsi"/>
          <w:b/>
          <w:bCs/>
          <w:color w:val="3A3C39"/>
        </w:rPr>
      </w:pPr>
    </w:p>
    <w:p w14:paraId="1C5DD156" w14:textId="77777777" w:rsidR="007414D3" w:rsidRDefault="007414D3" w:rsidP="007414D3">
      <w:pPr>
        <w:numPr>
          <w:ilvl w:val="0"/>
          <w:numId w:val="23"/>
        </w:numPr>
        <w:spacing w:after="0"/>
        <w:ind w:left="567" w:hanging="567"/>
        <w:jc w:val="both"/>
        <w:rPr>
          <w:rFonts w:eastAsia="Times New Roman"/>
          <w:color w:val="3A3C39"/>
        </w:rPr>
      </w:pPr>
      <w:r w:rsidRPr="3EDD101F">
        <w:rPr>
          <w:rFonts w:eastAsia="Times New Roman"/>
          <w:color w:val="3A3C39"/>
        </w:rPr>
        <w:t xml:space="preserve">As part of the overall approach to Institution-led Review, the University carries out Learning and Teaching Reviews of specified subject-areas on a five-yearly cycle. These learning and teaching reviews are therefore referred to as Quinquennial Reviews. </w:t>
      </w:r>
    </w:p>
    <w:p w14:paraId="56347ED9" w14:textId="77777777" w:rsidR="007414D3" w:rsidRPr="0079237E" w:rsidRDefault="007414D3" w:rsidP="007414D3">
      <w:pPr>
        <w:spacing w:after="0"/>
        <w:ind w:left="567"/>
        <w:jc w:val="both"/>
        <w:rPr>
          <w:rFonts w:eastAsia="Times New Roman" w:cstheme="minorHAnsi"/>
          <w:color w:val="3A3C39"/>
        </w:rPr>
      </w:pPr>
    </w:p>
    <w:p w14:paraId="36F323EC" w14:textId="77777777" w:rsidR="007414D3" w:rsidRPr="0079237E" w:rsidRDefault="007414D3" w:rsidP="007414D3">
      <w:pPr>
        <w:numPr>
          <w:ilvl w:val="0"/>
          <w:numId w:val="23"/>
        </w:numPr>
        <w:spacing w:after="0"/>
        <w:ind w:left="567" w:hanging="567"/>
        <w:jc w:val="both"/>
        <w:rPr>
          <w:rFonts w:eastAsia="Times New Roman"/>
          <w:color w:val="3A3C39"/>
        </w:rPr>
      </w:pPr>
      <w:r w:rsidRPr="3EDD101F">
        <w:rPr>
          <w:rFonts w:eastAsia="Times New Roman"/>
          <w:color w:val="3A3C39"/>
        </w:rPr>
        <w:t xml:space="preserve">A learning and teaching review includes scrutiny of: </w:t>
      </w:r>
    </w:p>
    <w:p w14:paraId="28B5ED74" w14:textId="77777777" w:rsidR="007414D3" w:rsidRPr="0079237E" w:rsidRDefault="007414D3" w:rsidP="007414D3">
      <w:pPr>
        <w:pStyle w:val="BodyText3"/>
        <w:numPr>
          <w:ilvl w:val="0"/>
          <w:numId w:val="24"/>
        </w:numPr>
        <w:spacing w:line="276" w:lineRule="auto"/>
        <w:ind w:left="1134" w:hanging="425"/>
        <w:rPr>
          <w:rFonts w:asciiTheme="minorHAnsi" w:hAnsiTheme="minorHAnsi" w:cstheme="minorHAnsi"/>
          <w:color w:val="3A3C39"/>
          <w:sz w:val="22"/>
          <w:szCs w:val="22"/>
        </w:rPr>
      </w:pPr>
      <w:r w:rsidRPr="0079237E">
        <w:rPr>
          <w:rFonts w:asciiTheme="minorHAnsi" w:hAnsiTheme="minorHAnsi" w:cstheme="minorHAnsi"/>
          <w:color w:val="3A3C39"/>
          <w:sz w:val="22"/>
          <w:szCs w:val="22"/>
        </w:rPr>
        <w:t>The strategic approach to quality and enhancing learning and teaching;</w:t>
      </w:r>
    </w:p>
    <w:p w14:paraId="66633103" w14:textId="77777777" w:rsidR="007414D3" w:rsidRPr="0079237E" w:rsidRDefault="007414D3" w:rsidP="007414D3">
      <w:pPr>
        <w:pStyle w:val="BodyText3"/>
        <w:numPr>
          <w:ilvl w:val="0"/>
          <w:numId w:val="24"/>
        </w:numPr>
        <w:spacing w:line="276" w:lineRule="auto"/>
        <w:ind w:left="1134" w:hanging="425"/>
        <w:rPr>
          <w:rFonts w:asciiTheme="minorHAnsi" w:hAnsiTheme="minorHAnsi" w:cstheme="minorHAnsi"/>
          <w:color w:val="3A3C39"/>
          <w:sz w:val="22"/>
          <w:szCs w:val="22"/>
        </w:rPr>
      </w:pPr>
      <w:r w:rsidRPr="0079237E">
        <w:rPr>
          <w:rFonts w:asciiTheme="minorHAnsi" w:hAnsiTheme="minorHAnsi" w:cstheme="minorHAnsi"/>
          <w:color w:val="3A3C39"/>
          <w:sz w:val="22"/>
          <w:szCs w:val="22"/>
        </w:rPr>
        <w:t>All credit-bearing provision at undergraduate and postgraduate level for all modes of study, including any collaborative provision in those areas, CPD, continuing education provision, and the supervision of postgraduate research students;</w:t>
      </w:r>
    </w:p>
    <w:p w14:paraId="065C30F0" w14:textId="77777777" w:rsidR="007414D3" w:rsidRPr="0079237E" w:rsidRDefault="007414D3" w:rsidP="007414D3">
      <w:pPr>
        <w:pStyle w:val="BodyText3"/>
        <w:numPr>
          <w:ilvl w:val="0"/>
          <w:numId w:val="24"/>
        </w:numPr>
        <w:spacing w:line="276" w:lineRule="auto"/>
        <w:ind w:left="1134" w:hanging="425"/>
        <w:rPr>
          <w:rFonts w:asciiTheme="minorHAnsi" w:hAnsiTheme="minorHAnsi" w:cstheme="minorHAnsi"/>
          <w:color w:val="3A3C39"/>
          <w:sz w:val="22"/>
          <w:szCs w:val="22"/>
        </w:rPr>
      </w:pPr>
      <w:r w:rsidRPr="0079237E">
        <w:rPr>
          <w:rFonts w:asciiTheme="minorHAnsi" w:hAnsiTheme="minorHAnsi" w:cstheme="minorHAnsi"/>
          <w:color w:val="3A3C39"/>
          <w:sz w:val="22"/>
          <w:szCs w:val="22"/>
        </w:rPr>
        <w:t>Enhancement of learning and teaching;</w:t>
      </w:r>
    </w:p>
    <w:p w14:paraId="19CE096F" w14:textId="77777777" w:rsidR="007414D3" w:rsidRPr="0079237E" w:rsidRDefault="007414D3" w:rsidP="007414D3">
      <w:pPr>
        <w:pStyle w:val="BodyText3"/>
        <w:numPr>
          <w:ilvl w:val="0"/>
          <w:numId w:val="24"/>
        </w:numPr>
        <w:spacing w:line="276" w:lineRule="auto"/>
        <w:ind w:left="1134" w:hanging="425"/>
        <w:rPr>
          <w:rFonts w:asciiTheme="minorHAnsi" w:hAnsiTheme="minorHAnsi" w:cstheme="minorHAnsi"/>
          <w:color w:val="3A3C39"/>
          <w:sz w:val="22"/>
          <w:szCs w:val="22"/>
        </w:rPr>
      </w:pPr>
      <w:r w:rsidRPr="0079237E">
        <w:rPr>
          <w:rFonts w:asciiTheme="minorHAnsi" w:hAnsiTheme="minorHAnsi" w:cstheme="minorHAnsi"/>
          <w:color w:val="3A3C39"/>
          <w:sz w:val="22"/>
          <w:szCs w:val="22"/>
        </w:rPr>
        <w:t>Approaches to identifying and sharing good practice.</w:t>
      </w:r>
    </w:p>
    <w:p w14:paraId="104C9B2E" w14:textId="77777777" w:rsidR="007414D3" w:rsidRDefault="007414D3" w:rsidP="007414D3">
      <w:pPr>
        <w:shd w:val="clear" w:color="auto" w:fill="FEFEFE"/>
        <w:spacing w:after="0"/>
        <w:rPr>
          <w:rFonts w:eastAsia="Times New Roman" w:cstheme="minorHAnsi"/>
          <w:b/>
          <w:bCs/>
          <w:color w:val="3A3C39"/>
        </w:rPr>
      </w:pPr>
    </w:p>
    <w:p w14:paraId="65E9DB7F" w14:textId="77777777" w:rsidR="007414D3" w:rsidRPr="00374844" w:rsidRDefault="007414D3" w:rsidP="007414D3">
      <w:pPr>
        <w:numPr>
          <w:ilvl w:val="0"/>
          <w:numId w:val="23"/>
        </w:numPr>
        <w:spacing w:after="0"/>
        <w:ind w:left="567" w:hanging="567"/>
        <w:jc w:val="both"/>
        <w:rPr>
          <w:rFonts w:eastAsia="Times New Roman"/>
          <w:color w:val="3A3C39"/>
        </w:rPr>
      </w:pPr>
      <w:r w:rsidRPr="3EDD101F">
        <w:rPr>
          <w:rFonts w:eastAsia="Times New Roman"/>
          <w:color w:val="3A3C39"/>
        </w:rPr>
        <w:t>The aims of each learning and teaching review are to:</w:t>
      </w:r>
    </w:p>
    <w:p w14:paraId="57968248" w14:textId="77777777" w:rsidR="007414D3" w:rsidRPr="00374844" w:rsidRDefault="007414D3" w:rsidP="007414D3">
      <w:pPr>
        <w:numPr>
          <w:ilvl w:val="0"/>
          <w:numId w:val="25"/>
        </w:numPr>
        <w:spacing w:after="0"/>
        <w:ind w:left="1134" w:hanging="425"/>
        <w:jc w:val="both"/>
        <w:rPr>
          <w:rFonts w:eastAsia="Times New Roman" w:cstheme="minorHAnsi"/>
          <w:color w:val="3A3C39"/>
        </w:rPr>
      </w:pPr>
      <w:r w:rsidRPr="00374844">
        <w:rPr>
          <w:rFonts w:eastAsia="Times New Roman" w:cstheme="minorHAnsi"/>
          <w:color w:val="3A3C39"/>
        </w:rPr>
        <w:t>Undertake an objective review of provision, critical reflection on practice and on national and international best practice;</w:t>
      </w:r>
    </w:p>
    <w:p w14:paraId="4410FA9E" w14:textId="77777777" w:rsidR="007414D3" w:rsidRPr="00374844" w:rsidRDefault="007414D3" w:rsidP="007414D3">
      <w:pPr>
        <w:numPr>
          <w:ilvl w:val="0"/>
          <w:numId w:val="25"/>
        </w:numPr>
        <w:spacing w:after="0"/>
        <w:ind w:left="1134" w:hanging="425"/>
        <w:jc w:val="both"/>
        <w:rPr>
          <w:rFonts w:eastAsia="Times New Roman" w:cstheme="minorHAnsi"/>
          <w:color w:val="3A3C39"/>
        </w:rPr>
      </w:pPr>
      <w:r w:rsidRPr="00374844">
        <w:rPr>
          <w:rFonts w:eastAsia="Times New Roman" w:cstheme="minorHAnsi"/>
          <w:color w:val="3A3C39"/>
        </w:rPr>
        <w:t xml:space="preserve">Produce reliable confirmation that the academic standards of awards are </w:t>
      </w:r>
      <w:proofErr w:type="gramStart"/>
      <w:r w:rsidRPr="00374844">
        <w:rPr>
          <w:rFonts w:eastAsia="Times New Roman" w:cstheme="minorHAnsi"/>
          <w:color w:val="3A3C39"/>
        </w:rPr>
        <w:t>secure</w:t>
      </w:r>
      <w:proofErr w:type="gramEnd"/>
      <w:r w:rsidRPr="00374844">
        <w:rPr>
          <w:rFonts w:eastAsia="Times New Roman" w:cstheme="minorHAnsi"/>
          <w:color w:val="3A3C39"/>
        </w:rPr>
        <w:t xml:space="preserve"> and that provision is of high quality and being enhanced;</w:t>
      </w:r>
    </w:p>
    <w:p w14:paraId="5A6B5FE8" w14:textId="77777777" w:rsidR="007414D3" w:rsidRPr="00374844" w:rsidRDefault="007414D3" w:rsidP="007414D3">
      <w:pPr>
        <w:numPr>
          <w:ilvl w:val="0"/>
          <w:numId w:val="25"/>
        </w:numPr>
        <w:spacing w:after="0"/>
        <w:ind w:left="1134" w:hanging="425"/>
        <w:jc w:val="both"/>
        <w:rPr>
          <w:rFonts w:eastAsia="Times New Roman" w:cstheme="minorHAnsi"/>
          <w:color w:val="3A3C39"/>
        </w:rPr>
      </w:pPr>
      <w:r w:rsidRPr="00374844">
        <w:rPr>
          <w:rFonts w:eastAsia="Times New Roman" w:cstheme="minorHAnsi"/>
          <w:color w:val="3A3C39"/>
        </w:rPr>
        <w:t xml:space="preserve">Consider areas of strength or weakness in relation to key performance indicators (KPIs): honours degrees awarded, employability, student cohorts, </w:t>
      </w:r>
      <w:proofErr w:type="gramStart"/>
      <w:r w:rsidRPr="00374844">
        <w:rPr>
          <w:rFonts w:eastAsia="Times New Roman" w:cstheme="minorHAnsi"/>
          <w:color w:val="3A3C39"/>
        </w:rPr>
        <w:t>equality</w:t>
      </w:r>
      <w:proofErr w:type="gramEnd"/>
      <w:r w:rsidRPr="00374844">
        <w:rPr>
          <w:rFonts w:eastAsia="Times New Roman" w:cstheme="minorHAnsi"/>
          <w:color w:val="3A3C39"/>
        </w:rPr>
        <w:t xml:space="preserve"> and diversity; etc;</w:t>
      </w:r>
    </w:p>
    <w:p w14:paraId="644B1F52" w14:textId="77777777" w:rsidR="007414D3" w:rsidRPr="00374844" w:rsidRDefault="007414D3" w:rsidP="007414D3">
      <w:pPr>
        <w:numPr>
          <w:ilvl w:val="0"/>
          <w:numId w:val="25"/>
        </w:numPr>
        <w:spacing w:after="0"/>
        <w:ind w:left="1134" w:hanging="425"/>
        <w:jc w:val="both"/>
        <w:rPr>
          <w:rFonts w:eastAsia="Times New Roman" w:cstheme="minorHAnsi"/>
          <w:color w:val="3A3C39"/>
        </w:rPr>
      </w:pPr>
      <w:r w:rsidRPr="00374844">
        <w:rPr>
          <w:rFonts w:eastAsia="Times New Roman" w:cstheme="minorHAnsi"/>
          <w:color w:val="3A3C39"/>
        </w:rPr>
        <w:t>Consider the effectiveness of the academic support and learning resources provided/available for students;</w:t>
      </w:r>
    </w:p>
    <w:p w14:paraId="30FD770A" w14:textId="77777777" w:rsidR="007414D3" w:rsidRPr="00374844" w:rsidRDefault="007414D3" w:rsidP="007414D3">
      <w:pPr>
        <w:numPr>
          <w:ilvl w:val="0"/>
          <w:numId w:val="25"/>
        </w:numPr>
        <w:spacing w:after="0"/>
        <w:ind w:left="1134" w:hanging="425"/>
        <w:jc w:val="both"/>
        <w:rPr>
          <w:rFonts w:eastAsia="Times New Roman" w:cstheme="minorHAnsi"/>
          <w:color w:val="3A3C39"/>
        </w:rPr>
      </w:pPr>
      <w:r w:rsidRPr="00374844">
        <w:rPr>
          <w:rFonts w:eastAsia="Times New Roman" w:cstheme="minorHAnsi"/>
          <w:color w:val="3A3C39"/>
        </w:rPr>
        <w:t>Consider the ways in which student engagement takes place and how student feedback is considered and acted upon;</w:t>
      </w:r>
    </w:p>
    <w:p w14:paraId="06CC83D7" w14:textId="77777777" w:rsidR="007414D3" w:rsidRPr="00374844" w:rsidRDefault="007414D3" w:rsidP="007414D3">
      <w:pPr>
        <w:numPr>
          <w:ilvl w:val="0"/>
          <w:numId w:val="25"/>
        </w:numPr>
        <w:spacing w:after="0"/>
        <w:ind w:left="1134" w:hanging="425"/>
        <w:jc w:val="both"/>
        <w:rPr>
          <w:rFonts w:eastAsia="Times New Roman" w:cstheme="minorHAnsi"/>
          <w:color w:val="3A3C39"/>
        </w:rPr>
      </w:pPr>
      <w:r w:rsidRPr="00374844">
        <w:rPr>
          <w:rFonts w:eastAsia="Times New Roman" w:cstheme="minorHAnsi"/>
          <w:color w:val="3A3C39"/>
        </w:rPr>
        <w:t>Consider themes arising from external examiner reports and responses to these themes;</w:t>
      </w:r>
    </w:p>
    <w:p w14:paraId="6EEA9456" w14:textId="77777777" w:rsidR="007414D3" w:rsidRPr="00374844" w:rsidRDefault="007414D3" w:rsidP="007414D3">
      <w:pPr>
        <w:numPr>
          <w:ilvl w:val="0"/>
          <w:numId w:val="25"/>
        </w:numPr>
        <w:spacing w:after="0"/>
        <w:ind w:left="1134" w:hanging="425"/>
        <w:jc w:val="both"/>
        <w:rPr>
          <w:rFonts w:eastAsia="Times New Roman" w:cstheme="minorHAnsi"/>
          <w:color w:val="3A3C39"/>
        </w:rPr>
      </w:pPr>
      <w:r w:rsidRPr="00374844">
        <w:rPr>
          <w:rFonts w:eastAsia="Times New Roman" w:cstheme="minorHAnsi"/>
          <w:color w:val="3A3C39"/>
        </w:rPr>
        <w:t>Give a central role to quality enhancement through dialogue on the approach to enhancement, enhancement that has been or is being progressed, and areas in which quality could be improved;</w:t>
      </w:r>
    </w:p>
    <w:p w14:paraId="3849A127" w14:textId="77777777" w:rsidR="007414D3" w:rsidRPr="00374844" w:rsidRDefault="007414D3" w:rsidP="007414D3">
      <w:pPr>
        <w:numPr>
          <w:ilvl w:val="0"/>
          <w:numId w:val="25"/>
        </w:numPr>
        <w:spacing w:after="0"/>
        <w:ind w:left="1134" w:hanging="425"/>
        <w:jc w:val="both"/>
        <w:rPr>
          <w:rFonts w:eastAsia="Times New Roman" w:cstheme="minorHAnsi"/>
          <w:color w:val="3A3C39"/>
        </w:rPr>
      </w:pPr>
      <w:r w:rsidRPr="00374844">
        <w:rPr>
          <w:rFonts w:eastAsia="Times New Roman" w:cstheme="minorHAnsi"/>
          <w:color w:val="3A3C39"/>
        </w:rPr>
        <w:t>Consider the subject-area’s use of relevant external and internal benchmarks in the design and delivery of its programmes including the University’s Learning and Teaching Quality Enhancement Strategy (LTQES), the UK Quality Code for HE, Subject Benchmark Statements, and the Scottish Credit and Qualifications Framework (SCQF);</w:t>
      </w:r>
    </w:p>
    <w:p w14:paraId="7BB81D05" w14:textId="77777777" w:rsidR="007414D3" w:rsidRPr="00374844" w:rsidRDefault="007414D3" w:rsidP="007414D3">
      <w:pPr>
        <w:numPr>
          <w:ilvl w:val="0"/>
          <w:numId w:val="25"/>
        </w:numPr>
        <w:spacing w:after="0"/>
        <w:ind w:left="1134" w:hanging="425"/>
        <w:jc w:val="both"/>
        <w:rPr>
          <w:rFonts w:eastAsia="Times New Roman" w:cstheme="minorHAnsi"/>
          <w:color w:val="3A3C39"/>
        </w:rPr>
      </w:pPr>
      <w:r w:rsidRPr="00374844">
        <w:rPr>
          <w:rFonts w:eastAsia="Times New Roman" w:cstheme="minorHAnsi"/>
          <w:color w:val="3A3C39"/>
        </w:rPr>
        <w:t>Consider the effectiveness of the subject-area’s engagement with annual monitoring processes;</w:t>
      </w:r>
    </w:p>
    <w:p w14:paraId="613E506F" w14:textId="77777777" w:rsidR="007414D3" w:rsidRDefault="007414D3" w:rsidP="007414D3">
      <w:pPr>
        <w:numPr>
          <w:ilvl w:val="0"/>
          <w:numId w:val="25"/>
        </w:numPr>
        <w:spacing w:after="0"/>
        <w:ind w:left="1134" w:hanging="425"/>
        <w:jc w:val="both"/>
        <w:rPr>
          <w:rFonts w:eastAsia="Times New Roman" w:cstheme="minorHAnsi"/>
          <w:color w:val="3A3C39"/>
        </w:rPr>
      </w:pPr>
      <w:r w:rsidRPr="00374844">
        <w:rPr>
          <w:rFonts w:eastAsia="Times New Roman" w:cstheme="minorHAnsi"/>
          <w:color w:val="3A3C39"/>
        </w:rPr>
        <w:t xml:space="preserve">Consider the effectiveness of the subject-area’s approaches to equality, </w:t>
      </w:r>
      <w:proofErr w:type="gramStart"/>
      <w:r w:rsidRPr="00374844">
        <w:rPr>
          <w:rFonts w:eastAsia="Times New Roman" w:cstheme="minorHAnsi"/>
          <w:color w:val="3A3C39"/>
        </w:rPr>
        <w:t>diversity</w:t>
      </w:r>
      <w:proofErr w:type="gramEnd"/>
      <w:r w:rsidRPr="00374844">
        <w:rPr>
          <w:rFonts w:eastAsia="Times New Roman" w:cstheme="minorHAnsi"/>
          <w:color w:val="3A3C39"/>
        </w:rPr>
        <w:t xml:space="preserve"> and inclusion;</w:t>
      </w:r>
    </w:p>
    <w:p w14:paraId="2EA0A9D6" w14:textId="77777777" w:rsidR="007414D3" w:rsidRDefault="007414D3" w:rsidP="007414D3">
      <w:pPr>
        <w:numPr>
          <w:ilvl w:val="0"/>
          <w:numId w:val="25"/>
        </w:numPr>
        <w:spacing w:after="0"/>
        <w:ind w:left="1134" w:hanging="425"/>
        <w:jc w:val="both"/>
        <w:rPr>
          <w:rFonts w:eastAsia="Times New Roman" w:cstheme="minorHAnsi"/>
          <w:color w:val="3A3C39"/>
        </w:rPr>
      </w:pPr>
      <w:r w:rsidRPr="00E75D0E">
        <w:rPr>
          <w:rFonts w:eastAsia="Times New Roman" w:cstheme="minorHAnsi"/>
          <w:color w:val="3A3C39"/>
        </w:rPr>
        <w:t>Recognise and commend areas of positive practice and make recommendations for future development.</w:t>
      </w:r>
    </w:p>
    <w:p w14:paraId="64A045B7" w14:textId="77777777" w:rsidR="007414D3" w:rsidRPr="00E75D0E" w:rsidRDefault="007414D3" w:rsidP="007414D3">
      <w:pPr>
        <w:spacing w:after="0"/>
        <w:ind w:left="1134"/>
        <w:jc w:val="both"/>
        <w:rPr>
          <w:rFonts w:eastAsia="Times New Roman" w:cstheme="minorHAnsi"/>
          <w:color w:val="3A3C39"/>
        </w:rPr>
      </w:pPr>
    </w:p>
    <w:p w14:paraId="739F688D" w14:textId="77777777" w:rsidR="007414D3" w:rsidRDefault="007414D3" w:rsidP="007414D3">
      <w:pPr>
        <w:pStyle w:val="ListParagraph"/>
        <w:numPr>
          <w:ilvl w:val="0"/>
          <w:numId w:val="23"/>
        </w:numPr>
        <w:shd w:val="clear" w:color="auto" w:fill="FEFEFE"/>
        <w:spacing w:after="0"/>
        <w:ind w:left="567" w:hanging="567"/>
        <w:rPr>
          <w:rFonts w:eastAsia="Times New Roman"/>
          <w:color w:val="3A3C39"/>
        </w:rPr>
      </w:pPr>
      <w:r w:rsidRPr="3EDD101F">
        <w:rPr>
          <w:rFonts w:eastAsia="Times New Roman"/>
          <w:color w:val="3A3C39"/>
        </w:rPr>
        <w:t xml:space="preserve">Each review takes place through a process </w:t>
      </w:r>
      <w:proofErr w:type="gramStart"/>
      <w:r w:rsidRPr="3EDD101F">
        <w:rPr>
          <w:rFonts w:eastAsia="Times New Roman"/>
          <w:color w:val="3A3C39"/>
        </w:rPr>
        <w:t>of:</w:t>
      </w:r>
      <w:proofErr w:type="gramEnd"/>
      <w:r w:rsidRPr="3EDD101F">
        <w:rPr>
          <w:rFonts w:eastAsia="Times New Roman"/>
          <w:color w:val="3A3C39"/>
        </w:rPr>
        <w:t xml:space="preserve"> preparation of an Advance Information Set (AIS) including a Self-Evaluation Document prepared by the subject-area; consideration of the AIS by a Review Panel chaired by a Deputy Principal and including internal, external and student members; a Review Meeting in which the Review Panel meets with groups of staff and students from the subject-area; preparation of a Review Report which includes areas of commendation and a set of recommendations.</w:t>
      </w:r>
    </w:p>
    <w:p w14:paraId="457AD8B7" w14:textId="77777777" w:rsidR="007414D3" w:rsidRDefault="007414D3" w:rsidP="007414D3">
      <w:pPr>
        <w:pStyle w:val="ListParagraph"/>
        <w:shd w:val="clear" w:color="auto" w:fill="FEFEFE"/>
        <w:spacing w:after="0"/>
        <w:ind w:left="567"/>
        <w:rPr>
          <w:rFonts w:eastAsia="Times New Roman" w:cstheme="minorHAnsi"/>
          <w:color w:val="3A3C39"/>
        </w:rPr>
      </w:pPr>
    </w:p>
    <w:p w14:paraId="14D8C91D" w14:textId="2E2F24FE" w:rsidR="007414D3" w:rsidRDefault="007414D3" w:rsidP="007414D3">
      <w:pPr>
        <w:pStyle w:val="ListParagraph"/>
        <w:numPr>
          <w:ilvl w:val="0"/>
          <w:numId w:val="23"/>
        </w:numPr>
        <w:shd w:val="clear" w:color="auto" w:fill="FEFEFE"/>
        <w:spacing w:after="0"/>
        <w:ind w:left="567" w:hanging="567"/>
        <w:rPr>
          <w:rFonts w:eastAsia="Times New Roman"/>
          <w:color w:val="3A3C39"/>
        </w:rPr>
      </w:pPr>
      <w:r w:rsidRPr="3EDD101F">
        <w:rPr>
          <w:rFonts w:eastAsia="Times New Roman"/>
          <w:color w:val="3A3C39"/>
        </w:rPr>
        <w:t xml:space="preserve">The ‘Guidance on Quinquennial Learning and Teaching Reviews’ provides comprehensive detail on reviews and is provided to subject-areas at the outset of preparation for each review. </w:t>
      </w:r>
    </w:p>
    <w:p w14:paraId="74EF7237" w14:textId="28D0B8CB" w:rsidR="005C56A5" w:rsidRDefault="005C56A5" w:rsidP="005C56A5">
      <w:pPr>
        <w:rPr>
          <w:rFonts w:eastAsia="Times New Roman"/>
          <w:color w:val="3A3C39"/>
        </w:rPr>
      </w:pPr>
    </w:p>
    <w:p w14:paraId="6A4E1125" w14:textId="2A545A61" w:rsidR="005C56A5" w:rsidRPr="005C56A5" w:rsidRDefault="005C56A5" w:rsidP="005C56A5">
      <w:pPr>
        <w:pStyle w:val="Heading1"/>
        <w:rPr>
          <w:rFonts w:eastAsia="Times New Roman"/>
          <w:b/>
          <w:bCs/>
          <w:color w:val="auto"/>
          <w:sz w:val="28"/>
          <w:szCs w:val="28"/>
          <w:lang w:val="en-US"/>
        </w:rPr>
      </w:pPr>
      <w:r w:rsidRPr="005C56A5">
        <w:rPr>
          <w:rFonts w:eastAsia="Times New Roman"/>
          <w:b/>
          <w:bCs/>
          <w:color w:val="auto"/>
          <w:sz w:val="28"/>
          <w:szCs w:val="28"/>
          <w:lang w:val="en-US"/>
        </w:rPr>
        <w:t>Student-Facing Services Review</w:t>
      </w:r>
    </w:p>
    <w:p w14:paraId="152D6B74" w14:textId="77777777" w:rsidR="005C56A5" w:rsidRPr="005C56A5" w:rsidRDefault="005C56A5" w:rsidP="005C56A5">
      <w:pPr>
        <w:pStyle w:val="ListParagraph"/>
        <w:shd w:val="clear" w:color="auto" w:fill="FEFEFE"/>
        <w:spacing w:after="0"/>
        <w:ind w:left="567"/>
      </w:pPr>
    </w:p>
    <w:p w14:paraId="186DC49D" w14:textId="344D511C" w:rsidR="005C56A5" w:rsidRPr="005C56A5" w:rsidRDefault="005C56A5" w:rsidP="005C56A5">
      <w:pPr>
        <w:pStyle w:val="ListParagraph"/>
        <w:numPr>
          <w:ilvl w:val="0"/>
          <w:numId w:val="23"/>
        </w:numPr>
        <w:shd w:val="clear" w:color="auto" w:fill="FEFEFE"/>
        <w:spacing w:after="0"/>
        <w:ind w:left="567" w:hanging="567"/>
      </w:pPr>
      <w:r w:rsidRPr="005C56A5">
        <w:rPr>
          <w:rFonts w:eastAsia="Times New Roman"/>
          <w:color w:val="3A3C39"/>
        </w:rPr>
        <w:t xml:space="preserve">Student-Facing Services Reviews are undertaken on a periodic basis, on a four to five year rolling programme. Each review addresses either an area of professional service practice or a particular theme such as, for example, careers and employability, mental health support, </w:t>
      </w:r>
      <w:proofErr w:type="gramStart"/>
      <w:r w:rsidRPr="005C56A5">
        <w:rPr>
          <w:rFonts w:eastAsia="Times New Roman"/>
          <w:color w:val="3A3C39"/>
        </w:rPr>
        <w:t>library</w:t>
      </w:r>
      <w:proofErr w:type="gramEnd"/>
      <w:r w:rsidRPr="005C56A5">
        <w:rPr>
          <w:rFonts w:eastAsia="Times New Roman"/>
          <w:color w:val="3A3C39"/>
        </w:rPr>
        <w:t xml:space="preserve"> and information, learning support.  Priorities for review are identified through the integrated strategic planning process.  </w:t>
      </w:r>
    </w:p>
    <w:p w14:paraId="1787CAC6" w14:textId="27558F78" w:rsidR="005C56A5" w:rsidRPr="005C56A5" w:rsidRDefault="005C56A5" w:rsidP="005C56A5">
      <w:pPr>
        <w:pStyle w:val="ListParagraph"/>
        <w:shd w:val="clear" w:color="auto" w:fill="FEFEFE"/>
        <w:spacing w:after="0"/>
        <w:ind w:left="567"/>
      </w:pPr>
      <w:r w:rsidRPr="005C56A5">
        <w:rPr>
          <w:rFonts w:eastAsia="Times New Roman"/>
          <w:color w:val="3A3C39"/>
        </w:rPr>
        <w:t> </w:t>
      </w:r>
    </w:p>
    <w:p w14:paraId="6C9D050B" w14:textId="77777777" w:rsidR="005C56A5" w:rsidRDefault="005C56A5">
      <w:pPr>
        <w:spacing w:after="160" w:line="259" w:lineRule="auto"/>
        <w:rPr>
          <w:rFonts w:eastAsia="Times New Roman"/>
          <w:color w:val="3A3C39"/>
        </w:rPr>
      </w:pPr>
      <w:r>
        <w:rPr>
          <w:rFonts w:eastAsia="Times New Roman"/>
          <w:color w:val="3A3C39"/>
        </w:rPr>
        <w:br w:type="page"/>
      </w:r>
    </w:p>
    <w:p w14:paraId="5B890034" w14:textId="7E6465A9" w:rsidR="005C56A5" w:rsidRPr="005C56A5" w:rsidRDefault="005C56A5" w:rsidP="005C56A5">
      <w:pPr>
        <w:pStyle w:val="ListParagraph"/>
        <w:numPr>
          <w:ilvl w:val="0"/>
          <w:numId w:val="23"/>
        </w:numPr>
        <w:shd w:val="clear" w:color="auto" w:fill="FEFEFE"/>
        <w:spacing w:after="0"/>
        <w:ind w:left="567" w:hanging="567"/>
      </w:pPr>
      <w:r w:rsidRPr="005C56A5">
        <w:rPr>
          <w:rFonts w:eastAsia="Times New Roman"/>
          <w:color w:val="3A3C39"/>
        </w:rPr>
        <w:lastRenderedPageBreak/>
        <w:t xml:space="preserve">The key aims of </w:t>
      </w:r>
      <w:r w:rsidRPr="005C56A5">
        <w:rPr>
          <w:rFonts w:eastAsia="Times New Roman"/>
          <w:color w:val="3A3C39"/>
        </w:rPr>
        <w:t xml:space="preserve">Student-Facing Services Reviews </w:t>
      </w:r>
      <w:r w:rsidRPr="005C56A5">
        <w:rPr>
          <w:rFonts w:eastAsia="Times New Roman"/>
          <w:color w:val="3A3C39"/>
        </w:rPr>
        <w:t>are to: </w:t>
      </w:r>
    </w:p>
    <w:p w14:paraId="505A3B3A" w14:textId="77777777" w:rsidR="005C56A5" w:rsidRPr="005C56A5" w:rsidRDefault="005C56A5" w:rsidP="005C56A5">
      <w:pPr>
        <w:pStyle w:val="ListParagraph"/>
        <w:numPr>
          <w:ilvl w:val="1"/>
          <w:numId w:val="23"/>
        </w:numPr>
        <w:shd w:val="clear" w:color="auto" w:fill="FEFEFE"/>
        <w:spacing w:after="0"/>
      </w:pPr>
      <w:r w:rsidRPr="005C56A5">
        <w:rPr>
          <w:rFonts w:eastAsia="Times New Roman"/>
          <w:color w:val="3A3C39"/>
        </w:rPr>
        <w:t xml:space="preserve">provide assurance about the </w:t>
      </w:r>
      <w:proofErr w:type="gramStart"/>
      <w:r w:rsidRPr="005C56A5">
        <w:rPr>
          <w:rFonts w:eastAsia="Times New Roman"/>
          <w:color w:val="3A3C39"/>
        </w:rPr>
        <w:t>quality of service</w:t>
      </w:r>
      <w:proofErr w:type="gramEnd"/>
      <w:r w:rsidRPr="005C56A5">
        <w:rPr>
          <w:rFonts w:eastAsia="Times New Roman"/>
          <w:color w:val="3A3C39"/>
        </w:rPr>
        <w:t xml:space="preserve"> provision</w:t>
      </w:r>
    </w:p>
    <w:p w14:paraId="3F1B738C" w14:textId="77777777" w:rsidR="005C56A5" w:rsidRPr="005C56A5" w:rsidRDefault="005C56A5" w:rsidP="005C56A5">
      <w:pPr>
        <w:pStyle w:val="ListParagraph"/>
        <w:numPr>
          <w:ilvl w:val="1"/>
          <w:numId w:val="23"/>
        </w:numPr>
        <w:shd w:val="clear" w:color="auto" w:fill="FEFEFE"/>
        <w:spacing w:after="0"/>
      </w:pPr>
      <w:r w:rsidRPr="005C56A5">
        <w:rPr>
          <w:rFonts w:eastAsia="Times New Roman"/>
          <w:color w:val="3A3C39"/>
        </w:rPr>
        <w:t>consider the effectiveness of services in creating or contributing to a quality culture and student experience  </w:t>
      </w:r>
    </w:p>
    <w:p w14:paraId="5363663A" w14:textId="77777777" w:rsidR="005C56A5" w:rsidRPr="005C56A5" w:rsidRDefault="005C56A5" w:rsidP="005C56A5">
      <w:pPr>
        <w:pStyle w:val="ListParagraph"/>
        <w:numPr>
          <w:ilvl w:val="1"/>
          <w:numId w:val="23"/>
        </w:numPr>
        <w:shd w:val="clear" w:color="auto" w:fill="FEFEFE"/>
        <w:spacing w:after="0"/>
      </w:pPr>
      <w:r w:rsidRPr="005C56A5">
        <w:rPr>
          <w:rFonts w:eastAsia="Times New Roman"/>
          <w:color w:val="3A3C39"/>
        </w:rPr>
        <w:t>consider the effectiveness of arrangements to engage students in review and development of services  </w:t>
      </w:r>
    </w:p>
    <w:p w14:paraId="0CDB8CAD" w14:textId="483FD1E0" w:rsidR="005C56A5" w:rsidRPr="005C56A5" w:rsidRDefault="005C56A5" w:rsidP="005C56A5">
      <w:pPr>
        <w:pStyle w:val="ListParagraph"/>
        <w:numPr>
          <w:ilvl w:val="1"/>
          <w:numId w:val="23"/>
        </w:numPr>
        <w:shd w:val="clear" w:color="auto" w:fill="FEFEFE"/>
        <w:spacing w:after="0"/>
        <w:rPr>
          <w:rFonts w:eastAsia="Times New Roman"/>
          <w:color w:val="3A3C39"/>
        </w:rPr>
      </w:pPr>
      <w:r w:rsidRPr="005C56A5">
        <w:rPr>
          <w:rFonts w:eastAsia="Times New Roman"/>
          <w:color w:val="3A3C39"/>
        </w:rPr>
        <w:t>identify and disseminate good practice. </w:t>
      </w:r>
    </w:p>
    <w:p w14:paraId="5DB06E63" w14:textId="77777777" w:rsidR="005C56A5" w:rsidRDefault="005C56A5" w:rsidP="005C56A5">
      <w:pPr>
        <w:pStyle w:val="paragraph"/>
        <w:spacing w:before="0" w:beforeAutospacing="0" w:after="0" w:afterAutospacing="0"/>
        <w:ind w:left="1410" w:hanging="420"/>
        <w:textAlignment w:val="baseline"/>
        <w:rPr>
          <w:rFonts w:ascii="Segoe UI" w:hAnsi="Segoe UI" w:cs="Segoe UI"/>
          <w:sz w:val="18"/>
          <w:szCs w:val="18"/>
        </w:rPr>
      </w:pPr>
      <w:r>
        <w:rPr>
          <w:rStyle w:val="eop"/>
          <w:rFonts w:ascii="Calibri" w:eastAsiaTheme="minorEastAsia" w:hAnsi="Calibri" w:cs="Calibri"/>
          <w:color w:val="000000"/>
          <w:sz w:val="22"/>
          <w:szCs w:val="22"/>
        </w:rPr>
        <w:t> </w:t>
      </w:r>
    </w:p>
    <w:p w14:paraId="5487A5E1" w14:textId="31E8A8D4" w:rsidR="005C56A5" w:rsidRPr="005C56A5" w:rsidRDefault="005C56A5" w:rsidP="005C56A5">
      <w:pPr>
        <w:pStyle w:val="ListParagraph"/>
        <w:numPr>
          <w:ilvl w:val="0"/>
          <w:numId w:val="23"/>
        </w:numPr>
        <w:shd w:val="clear" w:color="auto" w:fill="FEFEFE"/>
        <w:spacing w:after="0"/>
        <w:ind w:left="567" w:hanging="567"/>
        <w:rPr>
          <w:rFonts w:eastAsia="Times New Roman"/>
          <w:color w:val="3A3C39"/>
        </w:rPr>
      </w:pPr>
      <w:r w:rsidRPr="005C56A5">
        <w:rPr>
          <w:rFonts w:eastAsia="Times New Roman"/>
          <w:color w:val="3A3C39"/>
        </w:rPr>
        <w:t>The review process include</w:t>
      </w:r>
      <w:r>
        <w:rPr>
          <w:rFonts w:eastAsia="Times New Roman"/>
          <w:color w:val="3A3C39"/>
        </w:rPr>
        <w:t>s</w:t>
      </w:r>
      <w:r w:rsidRPr="005C56A5">
        <w:rPr>
          <w:rFonts w:eastAsia="Times New Roman"/>
          <w:color w:val="3A3C39"/>
        </w:rPr>
        <w:t xml:space="preserve"> an initial self-evaluation of the practice or theme, and engagement with both staff and students. In addition, direct external input inform</w:t>
      </w:r>
      <w:r>
        <w:rPr>
          <w:rFonts w:eastAsia="Times New Roman"/>
          <w:color w:val="3A3C39"/>
        </w:rPr>
        <w:t>s</w:t>
      </w:r>
      <w:r w:rsidRPr="005C56A5">
        <w:rPr>
          <w:rFonts w:eastAsia="Times New Roman"/>
          <w:color w:val="3A3C39"/>
        </w:rPr>
        <w:t xml:space="preserve"> each review via an external adviser who </w:t>
      </w:r>
      <w:r>
        <w:rPr>
          <w:rFonts w:eastAsia="Times New Roman"/>
          <w:color w:val="3A3C39"/>
        </w:rPr>
        <w:t xml:space="preserve">is </w:t>
      </w:r>
      <w:r w:rsidRPr="005C56A5">
        <w:rPr>
          <w:rFonts w:eastAsia="Times New Roman"/>
          <w:color w:val="3A3C39"/>
        </w:rPr>
        <w:t xml:space="preserve">normally a relevant senior member of staff from another institution or expert in the relevant service or theme. This external adviser </w:t>
      </w:r>
      <w:r>
        <w:rPr>
          <w:rFonts w:eastAsia="Times New Roman"/>
          <w:color w:val="3A3C39"/>
        </w:rPr>
        <w:t>is</w:t>
      </w:r>
      <w:r w:rsidRPr="005C56A5">
        <w:rPr>
          <w:rFonts w:eastAsia="Times New Roman"/>
          <w:color w:val="3A3C39"/>
        </w:rPr>
        <w:t xml:space="preserve"> appointed to act as a member of the Review Panel alongside internal staff members and a student member who will be nominated by the Students' Union.   </w:t>
      </w:r>
    </w:p>
    <w:p w14:paraId="72F38160" w14:textId="2B899C33" w:rsidR="005C56A5" w:rsidRPr="005C56A5" w:rsidRDefault="005C56A5" w:rsidP="005C56A5">
      <w:pPr>
        <w:pStyle w:val="ListParagraph"/>
        <w:shd w:val="clear" w:color="auto" w:fill="FEFEFE"/>
        <w:spacing w:after="0"/>
        <w:ind w:left="567"/>
        <w:rPr>
          <w:rFonts w:eastAsia="Times New Roman"/>
          <w:color w:val="3A3C39"/>
        </w:rPr>
      </w:pPr>
    </w:p>
    <w:p w14:paraId="704C095B" w14:textId="77D51BE0" w:rsidR="005C56A5" w:rsidRPr="005C56A5" w:rsidRDefault="005C56A5" w:rsidP="005C56A5">
      <w:pPr>
        <w:pStyle w:val="ListParagraph"/>
        <w:numPr>
          <w:ilvl w:val="0"/>
          <w:numId w:val="23"/>
        </w:numPr>
        <w:shd w:val="clear" w:color="auto" w:fill="FEFEFE"/>
        <w:spacing w:after="0"/>
        <w:ind w:left="567" w:hanging="567"/>
        <w:rPr>
          <w:rFonts w:eastAsia="Times New Roman"/>
          <w:color w:val="3A3C39"/>
        </w:rPr>
      </w:pPr>
      <w:r>
        <w:rPr>
          <w:rFonts w:eastAsia="Times New Roman"/>
          <w:color w:val="3A3C39"/>
        </w:rPr>
        <w:t>A</w:t>
      </w:r>
      <w:r w:rsidRPr="3EDD101F">
        <w:rPr>
          <w:rFonts w:eastAsia="Times New Roman"/>
          <w:color w:val="3A3C39"/>
        </w:rPr>
        <w:t xml:space="preserve"> Review Report </w:t>
      </w:r>
      <w:r>
        <w:rPr>
          <w:rFonts w:eastAsia="Times New Roman"/>
          <w:color w:val="3A3C39"/>
        </w:rPr>
        <w:t xml:space="preserve">is prepared on each review </w:t>
      </w:r>
      <w:r w:rsidRPr="3EDD101F">
        <w:rPr>
          <w:rFonts w:eastAsia="Times New Roman"/>
          <w:color w:val="3A3C39"/>
        </w:rPr>
        <w:t>which includes areas of commendation and recommendation.</w:t>
      </w:r>
    </w:p>
    <w:p w14:paraId="300FE2B8" w14:textId="77777777" w:rsidR="005C56A5" w:rsidRPr="005C56A5" w:rsidRDefault="005C56A5" w:rsidP="005C56A5">
      <w:pPr>
        <w:pStyle w:val="ListParagraph"/>
        <w:rPr>
          <w:rFonts w:eastAsia="Times New Roman"/>
          <w:color w:val="3A3C39"/>
        </w:rPr>
      </w:pPr>
    </w:p>
    <w:p w14:paraId="4A72B8FA" w14:textId="3FC8334A" w:rsidR="005C56A5" w:rsidRPr="005C56A5" w:rsidRDefault="005C56A5" w:rsidP="005C56A5">
      <w:pPr>
        <w:pStyle w:val="ListParagraph"/>
        <w:numPr>
          <w:ilvl w:val="0"/>
          <w:numId w:val="23"/>
        </w:numPr>
        <w:shd w:val="clear" w:color="auto" w:fill="FEFEFE"/>
        <w:spacing w:after="0"/>
        <w:ind w:left="567" w:hanging="567"/>
        <w:rPr>
          <w:rFonts w:eastAsia="Times New Roman"/>
          <w:color w:val="3A3C39"/>
        </w:rPr>
      </w:pPr>
      <w:r w:rsidRPr="005C56A5">
        <w:rPr>
          <w:rFonts w:eastAsia="Times New Roman"/>
          <w:color w:val="3A3C39"/>
        </w:rPr>
        <w:t>In undertaking Student-Facing Services Reviews, the panel make</w:t>
      </w:r>
      <w:r>
        <w:rPr>
          <w:rFonts w:eastAsia="Times New Roman"/>
          <w:color w:val="3A3C39"/>
        </w:rPr>
        <w:t>s</w:t>
      </w:r>
      <w:r w:rsidRPr="005C56A5">
        <w:rPr>
          <w:rFonts w:eastAsia="Times New Roman"/>
          <w:color w:val="3A3C39"/>
        </w:rPr>
        <w:t xml:space="preserve"> effective use of external and internal frameworks and data, for example, the strategic snapshot, student feedback and relevant professional body requirements.   </w:t>
      </w:r>
    </w:p>
    <w:p w14:paraId="594E1583" w14:textId="77777777" w:rsidR="007414D3" w:rsidRPr="005C56A5" w:rsidRDefault="007414D3" w:rsidP="005C56A5">
      <w:pPr>
        <w:pStyle w:val="ListParagraph"/>
        <w:numPr>
          <w:ilvl w:val="0"/>
          <w:numId w:val="23"/>
        </w:numPr>
        <w:shd w:val="clear" w:color="auto" w:fill="FEFEFE"/>
        <w:spacing w:after="0"/>
        <w:ind w:left="567" w:hanging="567"/>
        <w:rPr>
          <w:rFonts w:eastAsia="Times New Roman"/>
          <w:color w:val="3A3C39"/>
        </w:rPr>
      </w:pPr>
      <w:r w:rsidRPr="005C56A5">
        <w:rPr>
          <w:rFonts w:eastAsia="Times New Roman"/>
          <w:color w:val="3A3C39"/>
        </w:rPr>
        <w:br w:type="page"/>
      </w:r>
    </w:p>
    <w:p w14:paraId="239C2067" w14:textId="77777777" w:rsidR="007414D3" w:rsidRDefault="007414D3" w:rsidP="007414D3">
      <w:pPr>
        <w:spacing w:after="0"/>
        <w:rPr>
          <w:rFonts w:cstheme="minorHAnsi"/>
        </w:rPr>
        <w:sectPr w:rsidR="007414D3" w:rsidSect="007626DE">
          <w:headerReference w:type="default" r:id="rId21"/>
          <w:pgSz w:w="11906" w:h="16838"/>
          <w:pgMar w:top="709" w:right="1440" w:bottom="851" w:left="1440" w:header="708" w:footer="708" w:gutter="0"/>
          <w:cols w:space="708"/>
          <w:titlePg/>
          <w:docGrid w:linePitch="360"/>
        </w:sectPr>
      </w:pPr>
    </w:p>
    <w:p w14:paraId="3793D2C8" w14:textId="4739F445" w:rsidR="007414D3" w:rsidRPr="00BE7340" w:rsidRDefault="007414D3" w:rsidP="00BE7340">
      <w:pPr>
        <w:pStyle w:val="Heading1"/>
        <w:rPr>
          <w:rFonts w:eastAsia="Times New Roman"/>
          <w:b/>
          <w:bCs/>
          <w:color w:val="auto"/>
          <w:sz w:val="28"/>
          <w:szCs w:val="28"/>
          <w:lang w:val="en-US"/>
        </w:rPr>
      </w:pPr>
      <w:bookmarkStart w:id="4" w:name="_Appendix_1_–"/>
      <w:bookmarkEnd w:id="4"/>
      <w:r w:rsidRPr="00BE7340">
        <w:rPr>
          <w:rFonts w:eastAsia="Times New Roman"/>
          <w:b/>
          <w:bCs/>
          <w:color w:val="auto"/>
          <w:sz w:val="28"/>
          <w:szCs w:val="28"/>
          <w:lang w:val="en-US"/>
        </w:rPr>
        <w:lastRenderedPageBreak/>
        <w:t xml:space="preserve">Appendix 1 – </w:t>
      </w:r>
      <w:r w:rsidR="007626DE" w:rsidRPr="00BE7340">
        <w:rPr>
          <w:rFonts w:eastAsia="Times New Roman"/>
          <w:b/>
          <w:bCs/>
          <w:color w:val="auto"/>
          <w:sz w:val="28"/>
          <w:szCs w:val="28"/>
          <w:lang w:val="en-US"/>
        </w:rPr>
        <w:t xml:space="preserve">Module Review and </w:t>
      </w:r>
      <w:r w:rsidRPr="00BE7340">
        <w:rPr>
          <w:rFonts w:eastAsia="Times New Roman"/>
          <w:b/>
          <w:bCs/>
          <w:color w:val="auto"/>
          <w:sz w:val="28"/>
          <w:szCs w:val="28"/>
          <w:lang w:val="en-US"/>
        </w:rPr>
        <w:t>Annual Programme Monitoring Timeline</w:t>
      </w:r>
    </w:p>
    <w:p w14:paraId="6D1BCA70" w14:textId="5E32280B" w:rsidR="007414D3" w:rsidRPr="00577B50" w:rsidRDefault="007414D3" w:rsidP="007414D3">
      <w:pPr>
        <w:spacing w:after="0"/>
        <w:rPr>
          <w:rFonts w:cstheme="minorHAnsi"/>
          <w:b/>
          <w:bCs/>
          <w:sz w:val="24"/>
          <w:szCs w:val="24"/>
        </w:rPr>
      </w:pPr>
      <w:r>
        <w:rPr>
          <w:noProof/>
        </w:rPr>
        <w:drawing>
          <wp:inline distT="0" distB="0" distL="0" distR="0" wp14:anchorId="4537037D" wp14:editId="1EC98276">
            <wp:extent cx="9515475" cy="2581275"/>
            <wp:effectExtent l="38100" t="0" r="9525" b="0"/>
            <wp:docPr id="7" name="Diagram 7" descr="This diagram summarises the timeline for annual programme monitoring. It sets out that module review needs to take place at the end of each semester and therefore in January, June and September, then the sequence of steps for annual programme monitoring for undergraduate programmes to take place in October with faculty reports submitted by the end of November, and then an institutional summary considered by the University Learning, Teaching and Quality Committee in January. It further sets out that monitoring of postgraduate programmes is required to take place in February with faculty reports submitted by the end of March, and then an institutional summary considered by the University Learning, Teaching and Quality Committee in April."/>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D0A0172" w14:textId="77777777" w:rsidR="007414D3" w:rsidRDefault="007414D3" w:rsidP="007414D3">
      <w:pPr>
        <w:spacing w:after="0"/>
        <w:rPr>
          <w:rFonts w:cstheme="minorHAnsi"/>
        </w:rPr>
      </w:pPr>
    </w:p>
    <w:p w14:paraId="70F12FB2" w14:textId="77777777" w:rsidR="007414D3" w:rsidRPr="00EB50BF" w:rsidRDefault="007414D3">
      <w:pPr>
        <w:spacing w:after="160" w:line="259" w:lineRule="auto"/>
        <w:rPr>
          <w:rFonts w:ascii="Calibri" w:eastAsia="Times New Roman" w:hAnsi="Calibri" w:cs="Calibri"/>
          <w:bCs/>
        </w:rPr>
      </w:pPr>
    </w:p>
    <w:sectPr w:rsidR="007414D3" w:rsidRPr="00EB50BF" w:rsidSect="007414D3">
      <w:headerReference w:type="default" r:id="rId27"/>
      <w:footerReference w:type="default" r:id="rId28"/>
      <w:headerReference w:type="first" r:id="rId29"/>
      <w:pgSz w:w="16838" w:h="11906" w:orient="landscape"/>
      <w:pgMar w:top="1134" w:right="284" w:bottom="70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7974" w14:textId="77777777" w:rsidR="008A613C" w:rsidRDefault="008A613C" w:rsidP="00462397">
      <w:pPr>
        <w:spacing w:after="0" w:line="240" w:lineRule="auto"/>
      </w:pPr>
      <w:r>
        <w:separator/>
      </w:r>
    </w:p>
  </w:endnote>
  <w:endnote w:type="continuationSeparator" w:id="0">
    <w:p w14:paraId="1D4984AB" w14:textId="77777777" w:rsidR="008A613C" w:rsidRDefault="008A613C" w:rsidP="00462397">
      <w:pPr>
        <w:spacing w:after="0" w:line="240" w:lineRule="auto"/>
      </w:pPr>
      <w:r>
        <w:continuationSeparator/>
      </w:r>
    </w:p>
  </w:endnote>
  <w:endnote w:type="continuationNotice" w:id="1">
    <w:p w14:paraId="6C3AAB79" w14:textId="77777777" w:rsidR="008A613C" w:rsidRDefault="008A6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759885"/>
      <w:docPartObj>
        <w:docPartGallery w:val="Page Numbers (Bottom of Page)"/>
        <w:docPartUnique/>
      </w:docPartObj>
    </w:sdtPr>
    <w:sdtEndPr/>
    <w:sdtContent>
      <w:p w14:paraId="4C0E4F02" w14:textId="6624A849" w:rsidR="00D912D4" w:rsidRDefault="00D912D4">
        <w:pPr>
          <w:pStyle w:val="Footer"/>
          <w:jc w:val="right"/>
        </w:pPr>
        <w:r>
          <w:fldChar w:fldCharType="begin"/>
        </w:r>
        <w:r>
          <w:instrText xml:space="preserve"> PAGE   \* MERGEFORMAT </w:instrText>
        </w:r>
        <w:r>
          <w:fldChar w:fldCharType="separate"/>
        </w:r>
        <w:r w:rsidR="00EB50BF">
          <w:rPr>
            <w:noProof/>
          </w:rPr>
          <w:t>2</w:t>
        </w:r>
        <w:r>
          <w:rPr>
            <w:noProof/>
          </w:rPr>
          <w:fldChar w:fldCharType="end"/>
        </w:r>
      </w:p>
    </w:sdtContent>
  </w:sdt>
  <w:p w14:paraId="5BF9EC25" w14:textId="77777777" w:rsidR="00D912D4" w:rsidRDefault="00D91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5465" w14:textId="77777777" w:rsidR="008A613C" w:rsidRDefault="008A613C" w:rsidP="00462397">
      <w:pPr>
        <w:spacing w:after="0" w:line="240" w:lineRule="auto"/>
      </w:pPr>
      <w:r>
        <w:separator/>
      </w:r>
    </w:p>
  </w:footnote>
  <w:footnote w:type="continuationSeparator" w:id="0">
    <w:p w14:paraId="6A59F662" w14:textId="77777777" w:rsidR="008A613C" w:rsidRDefault="008A613C" w:rsidP="00462397">
      <w:pPr>
        <w:spacing w:after="0" w:line="240" w:lineRule="auto"/>
      </w:pPr>
      <w:r>
        <w:continuationSeparator/>
      </w:r>
    </w:p>
  </w:footnote>
  <w:footnote w:type="continuationNotice" w:id="1">
    <w:p w14:paraId="018376E8" w14:textId="77777777" w:rsidR="008A613C" w:rsidRDefault="008A61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1DAF" w14:textId="33FBE7CB" w:rsidR="007626DE" w:rsidRDefault="007626DE">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4CCD" w14:textId="2DA5DAA5" w:rsidR="00D912D4" w:rsidRDefault="00D912D4" w:rsidP="001E6520">
    <w:pPr>
      <w:ind w:left="4320" w:firstLine="72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D1FC" w14:textId="074A571C" w:rsidR="00AE01FC" w:rsidRDefault="00AE01FC">
    <w:pPr>
      <w:pStyle w:val="Header"/>
    </w:pPr>
    <w:r>
      <w:tab/>
    </w:r>
    <w:r>
      <w:tab/>
    </w:r>
    <w:r w:rsidR="007414D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AFC"/>
    <w:multiLevelType w:val="multilevel"/>
    <w:tmpl w:val="48544BC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B8F068D"/>
    <w:multiLevelType w:val="hybridMultilevel"/>
    <w:tmpl w:val="E45AF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800DD"/>
    <w:multiLevelType w:val="hybridMultilevel"/>
    <w:tmpl w:val="1784A5B4"/>
    <w:lvl w:ilvl="0" w:tplc="57A2520E">
      <w:start w:val="1"/>
      <w:numFmt w:val="lowerLetter"/>
      <w:lvlText w:val="%1."/>
      <w:lvlJc w:val="left"/>
      <w:pPr>
        <w:ind w:left="765" w:hanging="360"/>
      </w:pPr>
      <w:rPr>
        <w:rFonts w:hint="default"/>
        <w:sz w:val="22"/>
        <w:szCs w:val="2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09409E2"/>
    <w:multiLevelType w:val="hybridMultilevel"/>
    <w:tmpl w:val="8AD21C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2B7110E"/>
    <w:multiLevelType w:val="hybridMultilevel"/>
    <w:tmpl w:val="02CC90D4"/>
    <w:lvl w:ilvl="0" w:tplc="AEF0C57C">
      <w:start w:val="1"/>
      <w:numFmt w:val="decimal"/>
      <w:lvlText w:val="%1."/>
      <w:lvlJc w:val="left"/>
      <w:pPr>
        <w:ind w:left="72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850951"/>
    <w:multiLevelType w:val="multilevel"/>
    <w:tmpl w:val="0CE8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7E6079"/>
    <w:multiLevelType w:val="hybridMultilevel"/>
    <w:tmpl w:val="2D50D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910D8"/>
    <w:multiLevelType w:val="multilevel"/>
    <w:tmpl w:val="BEC2CCE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8DE7A7D"/>
    <w:multiLevelType w:val="hybridMultilevel"/>
    <w:tmpl w:val="9DBC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D15B2"/>
    <w:multiLevelType w:val="hybridMultilevel"/>
    <w:tmpl w:val="94B468DE"/>
    <w:lvl w:ilvl="0" w:tplc="08090019">
      <w:start w:val="1"/>
      <w:numFmt w:val="lowerLetter"/>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9E034CA"/>
    <w:multiLevelType w:val="hybridMultilevel"/>
    <w:tmpl w:val="B0042304"/>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AA7158F"/>
    <w:multiLevelType w:val="hybridMultilevel"/>
    <w:tmpl w:val="97F8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C0DE7"/>
    <w:multiLevelType w:val="hybridMultilevel"/>
    <w:tmpl w:val="F64C84AE"/>
    <w:lvl w:ilvl="0" w:tplc="2EEA4B3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60B04"/>
    <w:multiLevelType w:val="multilevel"/>
    <w:tmpl w:val="A05A1F4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E162597"/>
    <w:multiLevelType w:val="hybridMultilevel"/>
    <w:tmpl w:val="72140D5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75E10"/>
    <w:multiLevelType w:val="hybridMultilevel"/>
    <w:tmpl w:val="A1167B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20E42B8"/>
    <w:multiLevelType w:val="hybridMultilevel"/>
    <w:tmpl w:val="B5D07318"/>
    <w:lvl w:ilvl="0" w:tplc="2EEA4B38">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57C6A1C"/>
    <w:multiLevelType w:val="hybridMultilevel"/>
    <w:tmpl w:val="A1167B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DBF68CC"/>
    <w:multiLevelType w:val="hybridMultilevel"/>
    <w:tmpl w:val="8A66CC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A779CD"/>
    <w:multiLevelType w:val="multilevel"/>
    <w:tmpl w:val="F8F212E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9E911CD"/>
    <w:multiLevelType w:val="hybridMultilevel"/>
    <w:tmpl w:val="440030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687AE7"/>
    <w:multiLevelType w:val="hybridMultilevel"/>
    <w:tmpl w:val="9E6E54C2"/>
    <w:lvl w:ilvl="0" w:tplc="2EEA4B3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03100F5"/>
    <w:multiLevelType w:val="multilevel"/>
    <w:tmpl w:val="ED9E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740DB1"/>
    <w:multiLevelType w:val="hybridMultilevel"/>
    <w:tmpl w:val="F2EE4708"/>
    <w:lvl w:ilvl="0" w:tplc="08090019">
      <w:start w:val="1"/>
      <w:numFmt w:val="lowerLetter"/>
      <w:lvlText w:val="%1."/>
      <w:lvlJc w:val="lef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49563AD"/>
    <w:multiLevelType w:val="multilevel"/>
    <w:tmpl w:val="7A64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4C2297"/>
    <w:multiLevelType w:val="hybridMultilevel"/>
    <w:tmpl w:val="424855E0"/>
    <w:lvl w:ilvl="0" w:tplc="08090019">
      <w:start w:val="1"/>
      <w:numFmt w:val="lowerLetter"/>
      <w:lvlText w:val="%1."/>
      <w:lvlJc w:val="lef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06A6D5F"/>
    <w:multiLevelType w:val="hybridMultilevel"/>
    <w:tmpl w:val="632271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70761E6B"/>
    <w:multiLevelType w:val="hybridMultilevel"/>
    <w:tmpl w:val="3E8263B4"/>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EA7295"/>
    <w:multiLevelType w:val="hybridMultilevel"/>
    <w:tmpl w:val="18E8D50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54125C"/>
    <w:multiLevelType w:val="hybridMultilevel"/>
    <w:tmpl w:val="FCAAC312"/>
    <w:lvl w:ilvl="0" w:tplc="08090017">
      <w:start w:val="1"/>
      <w:numFmt w:val="lowerLetter"/>
      <w:lvlText w:val="%1)"/>
      <w:lvlJc w:val="lef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5632C8"/>
    <w:multiLevelType w:val="hybridMultilevel"/>
    <w:tmpl w:val="A1167B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16"/>
  </w:num>
  <w:num w:numId="3">
    <w:abstractNumId w:val="30"/>
  </w:num>
  <w:num w:numId="4">
    <w:abstractNumId w:val="21"/>
  </w:num>
  <w:num w:numId="5">
    <w:abstractNumId w:val="15"/>
  </w:num>
  <w:num w:numId="6">
    <w:abstractNumId w:val="29"/>
  </w:num>
  <w:num w:numId="7">
    <w:abstractNumId w:val="28"/>
  </w:num>
  <w:num w:numId="8">
    <w:abstractNumId w:val="3"/>
  </w:num>
  <w:num w:numId="9">
    <w:abstractNumId w:val="26"/>
  </w:num>
  <w:num w:numId="10">
    <w:abstractNumId w:val="4"/>
  </w:num>
  <w:num w:numId="11">
    <w:abstractNumId w:val="20"/>
  </w:num>
  <w:num w:numId="12">
    <w:abstractNumId w:val="6"/>
  </w:num>
  <w:num w:numId="13">
    <w:abstractNumId w:val="10"/>
  </w:num>
  <w:num w:numId="14">
    <w:abstractNumId w:val="17"/>
  </w:num>
  <w:num w:numId="15">
    <w:abstractNumId w:val="1"/>
  </w:num>
  <w:num w:numId="16">
    <w:abstractNumId w:val="27"/>
  </w:num>
  <w:num w:numId="17">
    <w:abstractNumId w:val="23"/>
  </w:num>
  <w:num w:numId="18">
    <w:abstractNumId w:val="14"/>
  </w:num>
  <w:num w:numId="19">
    <w:abstractNumId w:val="2"/>
  </w:num>
  <w:num w:numId="20">
    <w:abstractNumId w:val="9"/>
  </w:num>
  <w:num w:numId="21">
    <w:abstractNumId w:val="25"/>
  </w:num>
  <w:num w:numId="22">
    <w:abstractNumId w:val="24"/>
  </w:num>
  <w:num w:numId="23">
    <w:abstractNumId w:val="18"/>
  </w:num>
  <w:num w:numId="24">
    <w:abstractNumId w:val="8"/>
  </w:num>
  <w:num w:numId="25">
    <w:abstractNumId w:val="11"/>
  </w:num>
  <w:num w:numId="26">
    <w:abstractNumId w:val="0"/>
  </w:num>
  <w:num w:numId="27">
    <w:abstractNumId w:val="19"/>
  </w:num>
  <w:num w:numId="28">
    <w:abstractNumId w:val="22"/>
  </w:num>
  <w:num w:numId="29">
    <w:abstractNumId w:val="5"/>
  </w:num>
  <w:num w:numId="30">
    <w:abstractNumId w:val="1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397"/>
    <w:rsid w:val="000043E4"/>
    <w:rsid w:val="000254F1"/>
    <w:rsid w:val="00052367"/>
    <w:rsid w:val="00056AC6"/>
    <w:rsid w:val="00080ACA"/>
    <w:rsid w:val="0008360A"/>
    <w:rsid w:val="000E1F32"/>
    <w:rsid w:val="000F537F"/>
    <w:rsid w:val="001575AD"/>
    <w:rsid w:val="00175146"/>
    <w:rsid w:val="00196B95"/>
    <w:rsid w:val="001B353E"/>
    <w:rsid w:val="001B6625"/>
    <w:rsid w:val="001E0CE8"/>
    <w:rsid w:val="001E6520"/>
    <w:rsid w:val="001F46BB"/>
    <w:rsid w:val="00206A69"/>
    <w:rsid w:val="0021151C"/>
    <w:rsid w:val="00217AF6"/>
    <w:rsid w:val="002234AA"/>
    <w:rsid w:val="00264CB2"/>
    <w:rsid w:val="002A67F4"/>
    <w:rsid w:val="00307062"/>
    <w:rsid w:val="00335E5F"/>
    <w:rsid w:val="00346410"/>
    <w:rsid w:val="00347DE8"/>
    <w:rsid w:val="003A0D03"/>
    <w:rsid w:val="003E2AA1"/>
    <w:rsid w:val="003F582F"/>
    <w:rsid w:val="00462397"/>
    <w:rsid w:val="00473D36"/>
    <w:rsid w:val="004D45E3"/>
    <w:rsid w:val="004D4F60"/>
    <w:rsid w:val="0051079A"/>
    <w:rsid w:val="00545C88"/>
    <w:rsid w:val="0058403F"/>
    <w:rsid w:val="005A2394"/>
    <w:rsid w:val="005B345C"/>
    <w:rsid w:val="005B6089"/>
    <w:rsid w:val="005B69A6"/>
    <w:rsid w:val="005C1C0D"/>
    <w:rsid w:val="005C56A5"/>
    <w:rsid w:val="005C5747"/>
    <w:rsid w:val="005C7DFC"/>
    <w:rsid w:val="005E78CF"/>
    <w:rsid w:val="006124C5"/>
    <w:rsid w:val="00634182"/>
    <w:rsid w:val="006506A1"/>
    <w:rsid w:val="006B3F71"/>
    <w:rsid w:val="006D076B"/>
    <w:rsid w:val="006F1D31"/>
    <w:rsid w:val="007056C4"/>
    <w:rsid w:val="007414D3"/>
    <w:rsid w:val="007626DE"/>
    <w:rsid w:val="00776A36"/>
    <w:rsid w:val="00791CBB"/>
    <w:rsid w:val="00797454"/>
    <w:rsid w:val="007D6C29"/>
    <w:rsid w:val="007E4F50"/>
    <w:rsid w:val="0083079B"/>
    <w:rsid w:val="008768F7"/>
    <w:rsid w:val="00890CCA"/>
    <w:rsid w:val="008A613C"/>
    <w:rsid w:val="008A7407"/>
    <w:rsid w:val="008C6FB5"/>
    <w:rsid w:val="00913483"/>
    <w:rsid w:val="00921A50"/>
    <w:rsid w:val="0095697C"/>
    <w:rsid w:val="009E3438"/>
    <w:rsid w:val="00A774B2"/>
    <w:rsid w:val="00A84C24"/>
    <w:rsid w:val="00A93759"/>
    <w:rsid w:val="00AE01FC"/>
    <w:rsid w:val="00B20C42"/>
    <w:rsid w:val="00B42469"/>
    <w:rsid w:val="00B47DB2"/>
    <w:rsid w:val="00BD391E"/>
    <w:rsid w:val="00BE7340"/>
    <w:rsid w:val="00BF3537"/>
    <w:rsid w:val="00C23536"/>
    <w:rsid w:val="00C26105"/>
    <w:rsid w:val="00C618DD"/>
    <w:rsid w:val="00CE43E4"/>
    <w:rsid w:val="00CF3A60"/>
    <w:rsid w:val="00D05D8D"/>
    <w:rsid w:val="00D2190C"/>
    <w:rsid w:val="00D344B6"/>
    <w:rsid w:val="00D912D4"/>
    <w:rsid w:val="00DF465F"/>
    <w:rsid w:val="00DF72A3"/>
    <w:rsid w:val="00E10762"/>
    <w:rsid w:val="00E7232D"/>
    <w:rsid w:val="00EB50BF"/>
    <w:rsid w:val="00EB6412"/>
    <w:rsid w:val="00EE036F"/>
    <w:rsid w:val="00EE53CD"/>
    <w:rsid w:val="00EF02EA"/>
    <w:rsid w:val="00F21D1F"/>
    <w:rsid w:val="00F454A1"/>
    <w:rsid w:val="00F84D41"/>
    <w:rsid w:val="00FA3A26"/>
    <w:rsid w:val="00FB5EF2"/>
    <w:rsid w:val="00FB67E0"/>
    <w:rsid w:val="38315EEF"/>
    <w:rsid w:val="6F210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8E897"/>
  <w15:chartTrackingRefBased/>
  <w15:docId w15:val="{7395BD92-2C2D-4415-8ADE-5E0C5263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97"/>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6F1D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1D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F1D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97"/>
    <w:pPr>
      <w:ind w:left="720"/>
      <w:contextualSpacing/>
    </w:pPr>
  </w:style>
  <w:style w:type="paragraph" w:styleId="Footer">
    <w:name w:val="footer"/>
    <w:basedOn w:val="Normal"/>
    <w:link w:val="FooterChar"/>
    <w:uiPriority w:val="99"/>
    <w:unhideWhenUsed/>
    <w:rsid w:val="00462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397"/>
    <w:rPr>
      <w:rFonts w:eastAsiaTheme="minorEastAsia"/>
      <w:lang w:eastAsia="en-GB"/>
    </w:rPr>
  </w:style>
  <w:style w:type="character" w:styleId="CommentReference">
    <w:name w:val="annotation reference"/>
    <w:basedOn w:val="DefaultParagraphFont"/>
    <w:uiPriority w:val="99"/>
    <w:semiHidden/>
    <w:unhideWhenUsed/>
    <w:rsid w:val="00462397"/>
    <w:rPr>
      <w:sz w:val="16"/>
      <w:szCs w:val="16"/>
    </w:rPr>
  </w:style>
  <w:style w:type="paragraph" w:styleId="CommentText">
    <w:name w:val="annotation text"/>
    <w:basedOn w:val="Normal"/>
    <w:link w:val="CommentTextChar"/>
    <w:uiPriority w:val="99"/>
    <w:unhideWhenUsed/>
    <w:rsid w:val="00462397"/>
    <w:pPr>
      <w:spacing w:line="240" w:lineRule="auto"/>
    </w:pPr>
    <w:rPr>
      <w:sz w:val="20"/>
      <w:szCs w:val="20"/>
    </w:rPr>
  </w:style>
  <w:style w:type="character" w:customStyle="1" w:styleId="CommentTextChar">
    <w:name w:val="Comment Text Char"/>
    <w:basedOn w:val="DefaultParagraphFont"/>
    <w:link w:val="CommentText"/>
    <w:uiPriority w:val="99"/>
    <w:rsid w:val="00462397"/>
    <w:rPr>
      <w:rFonts w:eastAsiaTheme="minorEastAsia"/>
      <w:sz w:val="20"/>
      <w:szCs w:val="20"/>
      <w:lang w:eastAsia="en-GB"/>
    </w:rPr>
  </w:style>
  <w:style w:type="paragraph" w:styleId="BalloonText">
    <w:name w:val="Balloon Text"/>
    <w:basedOn w:val="Normal"/>
    <w:link w:val="BalloonTextChar"/>
    <w:uiPriority w:val="99"/>
    <w:semiHidden/>
    <w:unhideWhenUsed/>
    <w:rsid w:val="00462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397"/>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462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397"/>
    <w:rPr>
      <w:rFonts w:eastAsiaTheme="minorEastAsia"/>
      <w:lang w:eastAsia="en-GB"/>
    </w:rPr>
  </w:style>
  <w:style w:type="paragraph" w:styleId="Title">
    <w:name w:val="Title"/>
    <w:basedOn w:val="Normal"/>
    <w:next w:val="Normal"/>
    <w:link w:val="TitleChar"/>
    <w:autoRedefine/>
    <w:uiPriority w:val="10"/>
    <w:qFormat/>
    <w:rsid w:val="00462397"/>
    <w:pPr>
      <w:spacing w:after="0" w:line="240" w:lineRule="auto"/>
      <w:contextualSpacing/>
      <w:jc w:val="center"/>
    </w:pPr>
    <w:rPr>
      <w:rFonts w:ascii="Calibri" w:eastAsiaTheme="majorEastAsia" w:hAnsi="Calibri" w:cstheme="majorBidi"/>
      <w:b/>
      <w:color w:val="538135" w:themeColor="accent6" w:themeShade="BF"/>
      <w:spacing w:val="-10"/>
      <w:kern w:val="28"/>
      <w:sz w:val="40"/>
      <w:szCs w:val="56"/>
      <w:lang w:eastAsia="en-US"/>
    </w:rPr>
  </w:style>
  <w:style w:type="character" w:customStyle="1" w:styleId="TitleChar">
    <w:name w:val="Title Char"/>
    <w:basedOn w:val="DefaultParagraphFont"/>
    <w:link w:val="Title"/>
    <w:uiPriority w:val="10"/>
    <w:rsid w:val="00462397"/>
    <w:rPr>
      <w:rFonts w:ascii="Calibri" w:eastAsiaTheme="majorEastAsia" w:hAnsi="Calibri" w:cstheme="majorBidi"/>
      <w:b/>
      <w:color w:val="538135" w:themeColor="accent6" w:themeShade="BF"/>
      <w:spacing w:val="-10"/>
      <w:kern w:val="28"/>
      <w:sz w:val="40"/>
      <w:szCs w:val="56"/>
    </w:rPr>
  </w:style>
  <w:style w:type="table" w:styleId="TableGrid">
    <w:name w:val="Table Grid"/>
    <w:basedOn w:val="TableNormal"/>
    <w:uiPriority w:val="59"/>
    <w:rsid w:val="00462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0C42"/>
    <w:rPr>
      <w:b/>
      <w:bCs/>
    </w:rPr>
  </w:style>
  <w:style w:type="character" w:customStyle="1" w:styleId="CommentSubjectChar">
    <w:name w:val="Comment Subject Char"/>
    <w:basedOn w:val="CommentTextChar"/>
    <w:link w:val="CommentSubject"/>
    <w:uiPriority w:val="99"/>
    <w:semiHidden/>
    <w:rsid w:val="00B20C42"/>
    <w:rPr>
      <w:rFonts w:eastAsiaTheme="minorEastAsia"/>
      <w:b/>
      <w:bCs/>
      <w:sz w:val="20"/>
      <w:szCs w:val="20"/>
      <w:lang w:eastAsia="en-GB"/>
    </w:rPr>
  </w:style>
  <w:style w:type="character" w:styleId="Strong">
    <w:name w:val="Strong"/>
    <w:basedOn w:val="DefaultParagraphFont"/>
    <w:uiPriority w:val="22"/>
    <w:qFormat/>
    <w:rsid w:val="00FB5EF2"/>
    <w:rPr>
      <w:b/>
      <w:bCs/>
    </w:rPr>
  </w:style>
  <w:style w:type="character" w:styleId="Hyperlink">
    <w:name w:val="Hyperlink"/>
    <w:basedOn w:val="DefaultParagraphFont"/>
    <w:uiPriority w:val="99"/>
    <w:unhideWhenUsed/>
    <w:rsid w:val="00FB5EF2"/>
    <w:rPr>
      <w:color w:val="0563C1" w:themeColor="hyperlink"/>
      <w:u w:val="single"/>
    </w:rPr>
  </w:style>
  <w:style w:type="character" w:customStyle="1" w:styleId="Heading1Char">
    <w:name w:val="Heading 1 Char"/>
    <w:basedOn w:val="DefaultParagraphFont"/>
    <w:link w:val="Heading1"/>
    <w:uiPriority w:val="9"/>
    <w:rsid w:val="006F1D31"/>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6F1D31"/>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6F1D31"/>
    <w:rPr>
      <w:rFonts w:asciiTheme="majorHAnsi" w:eastAsiaTheme="majorEastAsia" w:hAnsiTheme="majorHAnsi" w:cstheme="majorBidi"/>
      <w:color w:val="1F4D78" w:themeColor="accent1" w:themeShade="7F"/>
      <w:sz w:val="24"/>
      <w:szCs w:val="24"/>
      <w:lang w:eastAsia="en-GB"/>
    </w:rPr>
  </w:style>
  <w:style w:type="paragraph" w:styleId="TOCHeading">
    <w:name w:val="TOC Heading"/>
    <w:basedOn w:val="Heading1"/>
    <w:next w:val="Normal"/>
    <w:uiPriority w:val="39"/>
    <w:unhideWhenUsed/>
    <w:qFormat/>
    <w:rsid w:val="006F1D31"/>
    <w:pPr>
      <w:spacing w:line="259" w:lineRule="auto"/>
      <w:outlineLvl w:val="9"/>
    </w:pPr>
    <w:rPr>
      <w:lang w:val="en-US" w:eastAsia="en-US"/>
    </w:rPr>
  </w:style>
  <w:style w:type="paragraph" w:styleId="TOC1">
    <w:name w:val="toc 1"/>
    <w:basedOn w:val="Normal"/>
    <w:next w:val="Normal"/>
    <w:autoRedefine/>
    <w:uiPriority w:val="39"/>
    <w:unhideWhenUsed/>
    <w:rsid w:val="006F1D31"/>
    <w:pPr>
      <w:spacing w:after="100"/>
    </w:pPr>
  </w:style>
  <w:style w:type="paragraph" w:styleId="TOC2">
    <w:name w:val="toc 2"/>
    <w:basedOn w:val="Normal"/>
    <w:next w:val="Normal"/>
    <w:autoRedefine/>
    <w:uiPriority w:val="39"/>
    <w:unhideWhenUsed/>
    <w:rsid w:val="006F1D31"/>
    <w:pPr>
      <w:spacing w:after="100"/>
      <w:ind w:left="220"/>
    </w:pPr>
  </w:style>
  <w:style w:type="paragraph" w:styleId="TOC3">
    <w:name w:val="toc 3"/>
    <w:basedOn w:val="Normal"/>
    <w:next w:val="Normal"/>
    <w:autoRedefine/>
    <w:uiPriority w:val="39"/>
    <w:unhideWhenUsed/>
    <w:rsid w:val="006F1D31"/>
    <w:pPr>
      <w:spacing w:after="100"/>
      <w:ind w:left="440"/>
    </w:pPr>
  </w:style>
  <w:style w:type="paragraph" w:styleId="NormalWeb">
    <w:name w:val="Normal (Web)"/>
    <w:basedOn w:val="Normal"/>
    <w:uiPriority w:val="99"/>
    <w:semiHidden/>
    <w:unhideWhenUsed/>
    <w:rsid w:val="00D912D4"/>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7414D3"/>
    <w:pPr>
      <w:spacing w:after="0" w:line="240" w:lineRule="auto"/>
      <w:jc w:val="both"/>
    </w:pPr>
    <w:rPr>
      <w:rFonts w:ascii="Times" w:eastAsia="Times New Roman" w:hAnsi="Times" w:cs="Times New Roman"/>
      <w:sz w:val="24"/>
      <w:szCs w:val="20"/>
    </w:rPr>
  </w:style>
  <w:style w:type="character" w:customStyle="1" w:styleId="BodyText3Char">
    <w:name w:val="Body Text 3 Char"/>
    <w:basedOn w:val="DefaultParagraphFont"/>
    <w:link w:val="BodyText3"/>
    <w:rsid w:val="007414D3"/>
    <w:rPr>
      <w:rFonts w:ascii="Times" w:eastAsia="Times New Roman" w:hAnsi="Times" w:cs="Times New Roman"/>
      <w:sz w:val="24"/>
      <w:szCs w:val="20"/>
      <w:lang w:eastAsia="en-GB"/>
    </w:rPr>
  </w:style>
  <w:style w:type="character" w:styleId="UnresolvedMention">
    <w:name w:val="Unresolved Mention"/>
    <w:basedOn w:val="DefaultParagraphFont"/>
    <w:uiPriority w:val="99"/>
    <w:semiHidden/>
    <w:unhideWhenUsed/>
    <w:rsid w:val="00BE7340"/>
    <w:rPr>
      <w:color w:val="605E5C"/>
      <w:shd w:val="clear" w:color="auto" w:fill="E1DFDD"/>
    </w:rPr>
  </w:style>
  <w:style w:type="character" w:styleId="FollowedHyperlink">
    <w:name w:val="FollowedHyperlink"/>
    <w:basedOn w:val="DefaultParagraphFont"/>
    <w:uiPriority w:val="99"/>
    <w:semiHidden/>
    <w:unhideWhenUsed/>
    <w:rsid w:val="00E10762"/>
    <w:rPr>
      <w:color w:val="954F72" w:themeColor="followedHyperlink"/>
      <w:u w:val="single"/>
    </w:rPr>
  </w:style>
  <w:style w:type="paragraph" w:customStyle="1" w:styleId="paragraph">
    <w:name w:val="paragraph"/>
    <w:basedOn w:val="Normal"/>
    <w:rsid w:val="005C56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C56A5"/>
  </w:style>
  <w:style w:type="character" w:customStyle="1" w:styleId="eop">
    <w:name w:val="eop"/>
    <w:basedOn w:val="DefaultParagraphFont"/>
    <w:rsid w:val="005C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48254">
      <w:bodyDiv w:val="1"/>
      <w:marLeft w:val="0"/>
      <w:marRight w:val="0"/>
      <w:marTop w:val="0"/>
      <w:marBottom w:val="0"/>
      <w:divBdr>
        <w:top w:val="none" w:sz="0" w:space="0" w:color="auto"/>
        <w:left w:val="none" w:sz="0" w:space="0" w:color="auto"/>
        <w:bottom w:val="none" w:sz="0" w:space="0" w:color="auto"/>
        <w:right w:val="none" w:sz="0" w:space="0" w:color="auto"/>
      </w:divBdr>
      <w:divsChild>
        <w:div w:id="1132165116">
          <w:marLeft w:val="0"/>
          <w:marRight w:val="0"/>
          <w:marTop w:val="0"/>
          <w:marBottom w:val="0"/>
          <w:divBdr>
            <w:top w:val="none" w:sz="0" w:space="0" w:color="auto"/>
            <w:left w:val="none" w:sz="0" w:space="0" w:color="auto"/>
            <w:bottom w:val="none" w:sz="0" w:space="0" w:color="auto"/>
            <w:right w:val="none" w:sz="0" w:space="0" w:color="auto"/>
          </w:divBdr>
          <w:divsChild>
            <w:div w:id="1436704029">
              <w:marLeft w:val="0"/>
              <w:marRight w:val="0"/>
              <w:marTop w:val="0"/>
              <w:marBottom w:val="0"/>
              <w:divBdr>
                <w:top w:val="none" w:sz="0" w:space="0" w:color="auto"/>
                <w:left w:val="none" w:sz="0" w:space="0" w:color="auto"/>
                <w:bottom w:val="none" w:sz="0" w:space="0" w:color="auto"/>
                <w:right w:val="none" w:sz="0" w:space="0" w:color="auto"/>
              </w:divBdr>
            </w:div>
            <w:div w:id="911545901">
              <w:marLeft w:val="0"/>
              <w:marRight w:val="0"/>
              <w:marTop w:val="0"/>
              <w:marBottom w:val="0"/>
              <w:divBdr>
                <w:top w:val="none" w:sz="0" w:space="0" w:color="auto"/>
                <w:left w:val="none" w:sz="0" w:space="0" w:color="auto"/>
                <w:bottom w:val="none" w:sz="0" w:space="0" w:color="auto"/>
                <w:right w:val="none" w:sz="0" w:space="0" w:color="auto"/>
              </w:divBdr>
            </w:div>
            <w:div w:id="1779105981">
              <w:marLeft w:val="0"/>
              <w:marRight w:val="0"/>
              <w:marTop w:val="0"/>
              <w:marBottom w:val="0"/>
              <w:divBdr>
                <w:top w:val="none" w:sz="0" w:space="0" w:color="auto"/>
                <w:left w:val="none" w:sz="0" w:space="0" w:color="auto"/>
                <w:bottom w:val="none" w:sz="0" w:space="0" w:color="auto"/>
                <w:right w:val="none" w:sz="0" w:space="0" w:color="auto"/>
              </w:divBdr>
            </w:div>
            <w:div w:id="27725486">
              <w:marLeft w:val="0"/>
              <w:marRight w:val="0"/>
              <w:marTop w:val="0"/>
              <w:marBottom w:val="0"/>
              <w:divBdr>
                <w:top w:val="none" w:sz="0" w:space="0" w:color="auto"/>
                <w:left w:val="none" w:sz="0" w:space="0" w:color="auto"/>
                <w:bottom w:val="none" w:sz="0" w:space="0" w:color="auto"/>
                <w:right w:val="none" w:sz="0" w:space="0" w:color="auto"/>
              </w:divBdr>
            </w:div>
          </w:divsChild>
        </w:div>
        <w:div w:id="1675451380">
          <w:marLeft w:val="0"/>
          <w:marRight w:val="0"/>
          <w:marTop w:val="0"/>
          <w:marBottom w:val="0"/>
          <w:divBdr>
            <w:top w:val="none" w:sz="0" w:space="0" w:color="auto"/>
            <w:left w:val="none" w:sz="0" w:space="0" w:color="auto"/>
            <w:bottom w:val="none" w:sz="0" w:space="0" w:color="auto"/>
            <w:right w:val="none" w:sz="0" w:space="0" w:color="auto"/>
          </w:divBdr>
          <w:divsChild>
            <w:div w:id="927348885">
              <w:marLeft w:val="0"/>
              <w:marRight w:val="0"/>
              <w:marTop w:val="0"/>
              <w:marBottom w:val="0"/>
              <w:divBdr>
                <w:top w:val="none" w:sz="0" w:space="0" w:color="auto"/>
                <w:left w:val="none" w:sz="0" w:space="0" w:color="auto"/>
                <w:bottom w:val="none" w:sz="0" w:space="0" w:color="auto"/>
                <w:right w:val="none" w:sz="0" w:space="0" w:color="auto"/>
              </w:divBdr>
            </w:div>
            <w:div w:id="957644550">
              <w:marLeft w:val="0"/>
              <w:marRight w:val="0"/>
              <w:marTop w:val="0"/>
              <w:marBottom w:val="0"/>
              <w:divBdr>
                <w:top w:val="none" w:sz="0" w:space="0" w:color="auto"/>
                <w:left w:val="none" w:sz="0" w:space="0" w:color="auto"/>
                <w:bottom w:val="none" w:sz="0" w:space="0" w:color="auto"/>
                <w:right w:val="none" w:sz="0" w:space="0" w:color="auto"/>
              </w:divBdr>
            </w:div>
            <w:div w:id="805271159">
              <w:marLeft w:val="0"/>
              <w:marRight w:val="0"/>
              <w:marTop w:val="0"/>
              <w:marBottom w:val="0"/>
              <w:divBdr>
                <w:top w:val="none" w:sz="0" w:space="0" w:color="auto"/>
                <w:left w:val="none" w:sz="0" w:space="0" w:color="auto"/>
                <w:bottom w:val="none" w:sz="0" w:space="0" w:color="auto"/>
                <w:right w:val="none" w:sz="0" w:space="0" w:color="auto"/>
              </w:divBdr>
            </w:div>
          </w:divsChild>
        </w:div>
        <w:div w:id="1667592087">
          <w:marLeft w:val="0"/>
          <w:marRight w:val="0"/>
          <w:marTop w:val="0"/>
          <w:marBottom w:val="0"/>
          <w:divBdr>
            <w:top w:val="none" w:sz="0" w:space="0" w:color="auto"/>
            <w:left w:val="none" w:sz="0" w:space="0" w:color="auto"/>
            <w:bottom w:val="none" w:sz="0" w:space="0" w:color="auto"/>
            <w:right w:val="none" w:sz="0" w:space="0" w:color="auto"/>
          </w:divBdr>
          <w:divsChild>
            <w:div w:id="1404179969">
              <w:marLeft w:val="0"/>
              <w:marRight w:val="0"/>
              <w:marTop w:val="0"/>
              <w:marBottom w:val="0"/>
              <w:divBdr>
                <w:top w:val="none" w:sz="0" w:space="0" w:color="auto"/>
                <w:left w:val="none" w:sz="0" w:space="0" w:color="auto"/>
                <w:bottom w:val="none" w:sz="0" w:space="0" w:color="auto"/>
                <w:right w:val="none" w:sz="0" w:space="0" w:color="auto"/>
              </w:divBdr>
            </w:div>
            <w:div w:id="1620338980">
              <w:marLeft w:val="0"/>
              <w:marRight w:val="0"/>
              <w:marTop w:val="0"/>
              <w:marBottom w:val="0"/>
              <w:divBdr>
                <w:top w:val="none" w:sz="0" w:space="0" w:color="auto"/>
                <w:left w:val="none" w:sz="0" w:space="0" w:color="auto"/>
                <w:bottom w:val="none" w:sz="0" w:space="0" w:color="auto"/>
                <w:right w:val="none" w:sz="0" w:space="0" w:color="auto"/>
              </w:divBdr>
            </w:div>
            <w:div w:id="6629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professional-services/student-academic-and-corporate-services/academic-registry/curriculum-development-resource-hub/" TargetMode="External"/><Relationship Id="rId18" Type="http://schemas.openxmlformats.org/officeDocument/2006/relationships/hyperlink" Target="https://www.stir.ac.uk/about/professional-services/student-academic-and-corporate-services/academic-registry/curriculum-development-resource-hub/"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cademic.registrar@stir.ac.uk" TargetMode="External"/><Relationship Id="rId17" Type="http://schemas.openxmlformats.org/officeDocument/2006/relationships/hyperlink" Target="https://stir.sharepoint.com/:f:/s/AQGLearningandTeachingReviews/EpgTGVWsdLRKr7ZO9I2GtYQBjaAXfDP7wzzZFvDOI3pPng?e=lLJtUe"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mailto:quality@stir.ac.uk" TargetMode="External"/><Relationship Id="rId20" Type="http://schemas.openxmlformats.org/officeDocument/2006/relationships/hyperlink" Target="mailto:quality@stir.ac.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hyperlink" Target="https://www.qaa.ac.uk/en/quality-code/advice-and-guidance"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tir.sharepoint.com/:f:/s/AQGLearningandTeachingReviews/EpgTGVWsdLRKr7ZO9I2GtYQBjaAXfDP7wzzZFvDOI3pPng?e=lLJtU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aa.ac.uk/quality-code/characteristics-statements" TargetMode="External"/><Relationship Id="rId22" Type="http://schemas.openxmlformats.org/officeDocument/2006/relationships/diagramData" Target="diagrams/data1.xml"/><Relationship Id="rId27" Type="http://schemas.openxmlformats.org/officeDocument/2006/relationships/header" Target="header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922F31-D8E1-4A5E-A5A8-9D4F0A5BF68D}" type="doc">
      <dgm:prSet loTypeId="urn:microsoft.com/office/officeart/2005/8/layout/chevron1" loCatId="process" qsTypeId="urn:microsoft.com/office/officeart/2005/8/quickstyle/simple1" qsCatId="simple" csTypeId="urn:microsoft.com/office/officeart/2005/8/colors/accent6_2" csCatId="accent6" phldr="1"/>
      <dgm:spPr/>
      <dgm:t>
        <a:bodyPr/>
        <a:lstStyle/>
        <a:p>
          <a:endParaRPr lang="en-GB"/>
        </a:p>
      </dgm:t>
    </dgm:pt>
    <dgm:pt modelId="{99D25D04-E834-4C0D-95C5-3E9D08947656}">
      <dgm:prSet phldrT="[Text]"/>
      <dgm:spPr>
        <a:solidFill>
          <a:schemeClr val="accent6">
            <a:lumMod val="75000"/>
          </a:schemeClr>
        </a:solidFill>
      </dgm:spPr>
      <dgm:t>
        <a:bodyPr/>
        <a:lstStyle/>
        <a:p>
          <a:r>
            <a:rPr lang="en-GB">
              <a:solidFill>
                <a:schemeClr val="bg1"/>
              </a:solidFill>
            </a:rPr>
            <a:t>End of each semester (January, June, September [summer semester])</a:t>
          </a:r>
        </a:p>
      </dgm:t>
    </dgm:pt>
    <dgm:pt modelId="{ED5F4B40-9488-455E-B77B-B34D2311DE96}" type="parTrans" cxnId="{9CC52251-ABB6-43BC-AA3A-DBB0FE0E41E7}">
      <dgm:prSet/>
      <dgm:spPr/>
      <dgm:t>
        <a:bodyPr/>
        <a:lstStyle/>
        <a:p>
          <a:endParaRPr lang="en-GB"/>
        </a:p>
      </dgm:t>
    </dgm:pt>
    <dgm:pt modelId="{8E340BEC-627F-4409-8EEA-AC17F3EDD1AE}" type="sibTrans" cxnId="{9CC52251-ABB6-43BC-AA3A-DBB0FE0E41E7}">
      <dgm:prSet/>
      <dgm:spPr/>
      <dgm:t>
        <a:bodyPr/>
        <a:lstStyle/>
        <a:p>
          <a:endParaRPr lang="en-GB"/>
        </a:p>
      </dgm:t>
    </dgm:pt>
    <dgm:pt modelId="{E214EA8C-6C75-4A61-92EA-62C12889B3F2}">
      <dgm:prSet phldrT="[Text]"/>
      <dgm:spPr/>
      <dgm:t>
        <a:bodyPr/>
        <a:lstStyle/>
        <a:p>
          <a:r>
            <a:rPr lang="en-GB"/>
            <a:t>Module coordinator completes module review report</a:t>
          </a:r>
        </a:p>
      </dgm:t>
    </dgm:pt>
    <dgm:pt modelId="{0FFBA267-4019-4839-BE17-9276EF1F6BA9}" type="parTrans" cxnId="{80A7420A-B858-40B2-8B6E-D69675CF5DC2}">
      <dgm:prSet/>
      <dgm:spPr/>
      <dgm:t>
        <a:bodyPr/>
        <a:lstStyle/>
        <a:p>
          <a:endParaRPr lang="en-GB"/>
        </a:p>
      </dgm:t>
    </dgm:pt>
    <dgm:pt modelId="{CDB6B6F0-2148-4E13-AA01-4077E03ED43E}" type="sibTrans" cxnId="{80A7420A-B858-40B2-8B6E-D69675CF5DC2}">
      <dgm:prSet/>
      <dgm:spPr/>
      <dgm:t>
        <a:bodyPr/>
        <a:lstStyle/>
        <a:p>
          <a:endParaRPr lang="en-GB"/>
        </a:p>
      </dgm:t>
    </dgm:pt>
    <dgm:pt modelId="{CB46E00F-2A45-4641-9949-29AC28164BCF}">
      <dgm:prSet phldrT="[Text]"/>
      <dgm:spPr/>
      <dgm:t>
        <a:bodyPr/>
        <a:lstStyle/>
        <a:p>
          <a:r>
            <a:rPr lang="en-GB"/>
            <a:t>Discussed at relevant programme review meeting</a:t>
          </a:r>
        </a:p>
      </dgm:t>
    </dgm:pt>
    <dgm:pt modelId="{DE4C95D6-EFC0-4B71-BD7E-47DF5C80403D}" type="parTrans" cxnId="{6B85AFC4-22DE-423C-B683-F6FE3E5BC4E5}">
      <dgm:prSet/>
      <dgm:spPr/>
      <dgm:t>
        <a:bodyPr/>
        <a:lstStyle/>
        <a:p>
          <a:endParaRPr lang="en-GB"/>
        </a:p>
      </dgm:t>
    </dgm:pt>
    <dgm:pt modelId="{839C124B-A7E5-4B04-90A7-A5710C54505B}" type="sibTrans" cxnId="{6B85AFC4-22DE-423C-B683-F6FE3E5BC4E5}">
      <dgm:prSet/>
      <dgm:spPr/>
      <dgm:t>
        <a:bodyPr/>
        <a:lstStyle/>
        <a:p>
          <a:endParaRPr lang="en-GB"/>
        </a:p>
      </dgm:t>
    </dgm:pt>
    <dgm:pt modelId="{11BCE5FC-FF7E-4B1E-BE21-3AD0CE03D522}">
      <dgm:prSet phldrT="[Text]"/>
      <dgm:spPr>
        <a:solidFill>
          <a:schemeClr val="accent6">
            <a:lumMod val="75000"/>
          </a:schemeClr>
        </a:solidFill>
      </dgm:spPr>
      <dgm:t>
        <a:bodyPr/>
        <a:lstStyle/>
        <a:p>
          <a:r>
            <a:rPr lang="en-GB"/>
            <a:t>By end of October</a:t>
          </a:r>
        </a:p>
      </dgm:t>
    </dgm:pt>
    <dgm:pt modelId="{DE0D8950-2397-401F-A9E4-3F5A25367B71}" type="parTrans" cxnId="{0FD9384F-7A87-4FC4-B69E-3C497B967903}">
      <dgm:prSet/>
      <dgm:spPr/>
      <dgm:t>
        <a:bodyPr/>
        <a:lstStyle/>
        <a:p>
          <a:endParaRPr lang="en-GB"/>
        </a:p>
      </dgm:t>
    </dgm:pt>
    <dgm:pt modelId="{262470B0-5458-47B7-9A80-3A4141C6B5B5}" type="sibTrans" cxnId="{0FD9384F-7A87-4FC4-B69E-3C497B967903}">
      <dgm:prSet/>
      <dgm:spPr/>
      <dgm:t>
        <a:bodyPr/>
        <a:lstStyle/>
        <a:p>
          <a:endParaRPr lang="en-GB"/>
        </a:p>
      </dgm:t>
    </dgm:pt>
    <dgm:pt modelId="{B43B8DCB-91F3-43E8-8A4B-21D2FD0EBD90}">
      <dgm:prSet phldrT="[Text]"/>
      <dgm:spPr/>
      <dgm:t>
        <a:bodyPr/>
        <a:lstStyle/>
        <a:p>
          <a:r>
            <a:rPr lang="en-GB"/>
            <a:t>Programme director completes annual programme monitoring report for undergraduate programmes</a:t>
          </a:r>
        </a:p>
      </dgm:t>
    </dgm:pt>
    <dgm:pt modelId="{A4C2C7D6-3FB4-4D4F-BBA2-54E097B957D9}" type="parTrans" cxnId="{0A260846-1FC4-45A9-BA4F-5A67DA476469}">
      <dgm:prSet/>
      <dgm:spPr/>
      <dgm:t>
        <a:bodyPr/>
        <a:lstStyle/>
        <a:p>
          <a:endParaRPr lang="en-GB"/>
        </a:p>
      </dgm:t>
    </dgm:pt>
    <dgm:pt modelId="{D9EA0F78-D7AC-438F-B334-FE07B2524A12}" type="sibTrans" cxnId="{0A260846-1FC4-45A9-BA4F-5A67DA476469}">
      <dgm:prSet/>
      <dgm:spPr/>
      <dgm:t>
        <a:bodyPr/>
        <a:lstStyle/>
        <a:p>
          <a:endParaRPr lang="en-GB"/>
        </a:p>
      </dgm:t>
    </dgm:pt>
    <dgm:pt modelId="{BB6FB806-D5C0-47D0-845D-8D15C06ECC55}">
      <dgm:prSet phldrT="[Text]"/>
      <dgm:spPr/>
      <dgm:t>
        <a:bodyPr/>
        <a:lstStyle/>
        <a:p>
          <a:r>
            <a:rPr lang="en-GB"/>
            <a:t>Discussed at Divisional Committee / equivalent</a:t>
          </a:r>
        </a:p>
      </dgm:t>
    </dgm:pt>
    <dgm:pt modelId="{C9EEF814-1355-4778-8D4A-0DA616CA6B49}" type="parTrans" cxnId="{F8E9C7FA-42AF-4F40-B725-0910227F594F}">
      <dgm:prSet/>
      <dgm:spPr/>
      <dgm:t>
        <a:bodyPr/>
        <a:lstStyle/>
        <a:p>
          <a:endParaRPr lang="en-GB"/>
        </a:p>
      </dgm:t>
    </dgm:pt>
    <dgm:pt modelId="{8C4CF313-D68F-4742-8AC0-70584A94CB9D}" type="sibTrans" cxnId="{F8E9C7FA-42AF-4F40-B725-0910227F594F}">
      <dgm:prSet/>
      <dgm:spPr/>
      <dgm:t>
        <a:bodyPr/>
        <a:lstStyle/>
        <a:p>
          <a:endParaRPr lang="en-GB"/>
        </a:p>
      </dgm:t>
    </dgm:pt>
    <dgm:pt modelId="{8BE3BE67-2CF2-47D6-AF8D-6048C3B47880}">
      <dgm:prSet phldrT="[Text]"/>
      <dgm:spPr>
        <a:solidFill>
          <a:schemeClr val="accent6">
            <a:lumMod val="75000"/>
          </a:schemeClr>
        </a:solidFill>
      </dgm:spPr>
      <dgm:t>
        <a:bodyPr/>
        <a:lstStyle/>
        <a:p>
          <a:r>
            <a:rPr lang="en-GB"/>
            <a:t>By end of November</a:t>
          </a:r>
        </a:p>
      </dgm:t>
    </dgm:pt>
    <dgm:pt modelId="{0A672FDA-D33C-4F54-BDAC-6F7B366E9361}" type="parTrans" cxnId="{2CC35E82-3A41-4532-82E7-152328641FC7}">
      <dgm:prSet/>
      <dgm:spPr/>
      <dgm:t>
        <a:bodyPr/>
        <a:lstStyle/>
        <a:p>
          <a:endParaRPr lang="en-GB"/>
        </a:p>
      </dgm:t>
    </dgm:pt>
    <dgm:pt modelId="{7177526E-13A6-4B89-8F61-33A9C1373137}" type="sibTrans" cxnId="{2CC35E82-3A41-4532-82E7-152328641FC7}">
      <dgm:prSet/>
      <dgm:spPr/>
      <dgm:t>
        <a:bodyPr/>
        <a:lstStyle/>
        <a:p>
          <a:endParaRPr lang="en-GB"/>
        </a:p>
      </dgm:t>
    </dgm:pt>
    <dgm:pt modelId="{F8F402A4-8685-486C-8B0C-FC50EB9030AE}">
      <dgm:prSet phldrT="[Text]"/>
      <dgm:spPr>
        <a:solidFill>
          <a:schemeClr val="accent6">
            <a:lumMod val="75000"/>
          </a:schemeClr>
        </a:solidFill>
      </dgm:spPr>
      <dgm:t>
        <a:bodyPr/>
        <a:lstStyle/>
        <a:p>
          <a:r>
            <a:rPr lang="en-GB"/>
            <a:t>January</a:t>
          </a:r>
        </a:p>
      </dgm:t>
    </dgm:pt>
    <dgm:pt modelId="{E102A8E5-E690-460D-B197-2091A6A2B6B9}" type="parTrans" cxnId="{7E641098-EF0E-4FCB-9968-7BB22449488C}">
      <dgm:prSet/>
      <dgm:spPr/>
      <dgm:t>
        <a:bodyPr/>
        <a:lstStyle/>
        <a:p>
          <a:endParaRPr lang="en-GB"/>
        </a:p>
      </dgm:t>
    </dgm:pt>
    <dgm:pt modelId="{9586ADF8-D60F-47D1-9D29-B4CB35CEDC2B}" type="sibTrans" cxnId="{7E641098-EF0E-4FCB-9968-7BB22449488C}">
      <dgm:prSet/>
      <dgm:spPr/>
      <dgm:t>
        <a:bodyPr/>
        <a:lstStyle/>
        <a:p>
          <a:endParaRPr lang="en-GB"/>
        </a:p>
      </dgm:t>
    </dgm:pt>
    <dgm:pt modelId="{70855A49-426D-4533-94BC-D7C6D913ED1D}">
      <dgm:prSet phldrT="[Text]"/>
      <dgm:spPr/>
      <dgm:t>
        <a:bodyPr/>
        <a:lstStyle/>
        <a:p>
          <a:r>
            <a:rPr lang="en-GB"/>
            <a:t>ADLT completes Faculty Summary Report for undergraduate programmes</a:t>
          </a:r>
        </a:p>
      </dgm:t>
    </dgm:pt>
    <dgm:pt modelId="{E212BB27-55B8-4E3F-B547-04674E84286D}" type="parTrans" cxnId="{ABE0FF3D-CEC0-4BBE-96C2-61099305778D}">
      <dgm:prSet/>
      <dgm:spPr/>
      <dgm:t>
        <a:bodyPr/>
        <a:lstStyle/>
        <a:p>
          <a:endParaRPr lang="en-GB"/>
        </a:p>
      </dgm:t>
    </dgm:pt>
    <dgm:pt modelId="{80C34AE8-E614-4B47-B76C-05DBF199E9A9}" type="sibTrans" cxnId="{ABE0FF3D-CEC0-4BBE-96C2-61099305778D}">
      <dgm:prSet/>
      <dgm:spPr/>
      <dgm:t>
        <a:bodyPr/>
        <a:lstStyle/>
        <a:p>
          <a:endParaRPr lang="en-GB"/>
        </a:p>
      </dgm:t>
    </dgm:pt>
    <dgm:pt modelId="{CA3B6C0D-EAC0-49D6-804D-49511F6C7A58}">
      <dgm:prSet phldrT="[Text]"/>
      <dgm:spPr/>
      <dgm:t>
        <a:bodyPr/>
        <a:lstStyle/>
        <a:p>
          <a:r>
            <a:rPr lang="en-GB"/>
            <a:t>ADLT forwards to AQG via quality@stir.ac.uk</a:t>
          </a:r>
        </a:p>
      </dgm:t>
    </dgm:pt>
    <dgm:pt modelId="{9CE70DE3-BD80-4CE1-8319-A54674A28207}" type="parTrans" cxnId="{A1E815CD-9E16-4A49-8D5A-E29386AE48DE}">
      <dgm:prSet/>
      <dgm:spPr/>
      <dgm:t>
        <a:bodyPr/>
        <a:lstStyle/>
        <a:p>
          <a:endParaRPr lang="en-GB"/>
        </a:p>
      </dgm:t>
    </dgm:pt>
    <dgm:pt modelId="{F842E0A4-3011-4EF9-BBAC-B4B730770C50}" type="sibTrans" cxnId="{A1E815CD-9E16-4A49-8D5A-E29386AE48DE}">
      <dgm:prSet/>
      <dgm:spPr/>
      <dgm:t>
        <a:bodyPr/>
        <a:lstStyle/>
        <a:p>
          <a:endParaRPr lang="en-GB"/>
        </a:p>
      </dgm:t>
    </dgm:pt>
    <dgm:pt modelId="{572A9B04-AA36-4156-9DCD-7F7E88E64D07}">
      <dgm:prSet phldrT="[Text]"/>
      <dgm:spPr/>
      <dgm:t>
        <a:bodyPr/>
        <a:lstStyle/>
        <a:p>
          <a:r>
            <a:rPr lang="en-GB"/>
            <a:t>ULTQC meeting takes place</a:t>
          </a:r>
        </a:p>
      </dgm:t>
    </dgm:pt>
    <dgm:pt modelId="{F95AD27C-A26D-4F55-87CF-FA496274A2EA}" type="parTrans" cxnId="{0CB9319E-3CAC-4AEF-9073-A55EFFACB11D}">
      <dgm:prSet/>
      <dgm:spPr/>
      <dgm:t>
        <a:bodyPr/>
        <a:lstStyle/>
        <a:p>
          <a:endParaRPr lang="en-GB"/>
        </a:p>
      </dgm:t>
    </dgm:pt>
    <dgm:pt modelId="{9A0297C3-7830-43A3-88DD-6543D7241A6A}" type="sibTrans" cxnId="{0CB9319E-3CAC-4AEF-9073-A55EFFACB11D}">
      <dgm:prSet/>
      <dgm:spPr/>
      <dgm:t>
        <a:bodyPr/>
        <a:lstStyle/>
        <a:p>
          <a:endParaRPr lang="en-GB"/>
        </a:p>
      </dgm:t>
    </dgm:pt>
    <dgm:pt modelId="{FD6C3218-4B1B-4A5F-BBBC-6F7CE425F856}">
      <dgm:prSet phldrT="[Text]"/>
      <dgm:spPr/>
      <dgm:t>
        <a:bodyPr/>
        <a:lstStyle/>
        <a:p>
          <a:r>
            <a:rPr lang="en-GB"/>
            <a:t>Forwarded to Faculty Learning and Teaching Committee for ADLT to review</a:t>
          </a:r>
        </a:p>
      </dgm:t>
    </dgm:pt>
    <dgm:pt modelId="{C72C439D-3CE9-4CF0-A6FA-DA190D750E6F}" type="parTrans" cxnId="{6CCF794B-386C-4A37-9AD9-D98394A38E66}">
      <dgm:prSet/>
      <dgm:spPr/>
      <dgm:t>
        <a:bodyPr/>
        <a:lstStyle/>
        <a:p>
          <a:endParaRPr lang="en-GB"/>
        </a:p>
      </dgm:t>
    </dgm:pt>
    <dgm:pt modelId="{4FBF6ED1-2D21-4EAA-8131-39F53B6F4703}" type="sibTrans" cxnId="{6CCF794B-386C-4A37-9AD9-D98394A38E66}">
      <dgm:prSet/>
      <dgm:spPr/>
      <dgm:t>
        <a:bodyPr/>
        <a:lstStyle/>
        <a:p>
          <a:endParaRPr lang="en-GB"/>
        </a:p>
      </dgm:t>
    </dgm:pt>
    <dgm:pt modelId="{B1D24891-A7FA-4162-AB1F-BBC443943F8E}">
      <dgm:prSet phldrT="[Text]"/>
      <dgm:spPr>
        <a:solidFill>
          <a:schemeClr val="accent6">
            <a:lumMod val="75000"/>
          </a:schemeClr>
        </a:solidFill>
      </dgm:spPr>
      <dgm:t>
        <a:bodyPr/>
        <a:lstStyle/>
        <a:p>
          <a:r>
            <a:rPr lang="en-GB"/>
            <a:t>By end of February</a:t>
          </a:r>
        </a:p>
      </dgm:t>
    </dgm:pt>
    <dgm:pt modelId="{61B91BC2-CE2C-4BF9-9750-F83FD4FD160F}" type="parTrans" cxnId="{DEB56AE5-6206-4FE2-AAEC-269AF7CC9C00}">
      <dgm:prSet/>
      <dgm:spPr/>
      <dgm:t>
        <a:bodyPr/>
        <a:lstStyle/>
        <a:p>
          <a:endParaRPr lang="en-GB"/>
        </a:p>
      </dgm:t>
    </dgm:pt>
    <dgm:pt modelId="{96C47EB4-AA67-4AAB-97F4-3C4A233BD2DC}" type="sibTrans" cxnId="{DEB56AE5-6206-4FE2-AAEC-269AF7CC9C00}">
      <dgm:prSet/>
      <dgm:spPr/>
      <dgm:t>
        <a:bodyPr/>
        <a:lstStyle/>
        <a:p>
          <a:endParaRPr lang="en-GB"/>
        </a:p>
      </dgm:t>
    </dgm:pt>
    <dgm:pt modelId="{905425AE-77A4-4C51-82E7-C792DE49AB39}">
      <dgm:prSet phldrT="[Text]"/>
      <dgm:spPr>
        <a:solidFill>
          <a:schemeClr val="accent6">
            <a:lumMod val="75000"/>
          </a:schemeClr>
        </a:solidFill>
      </dgm:spPr>
      <dgm:t>
        <a:bodyPr/>
        <a:lstStyle/>
        <a:p>
          <a:r>
            <a:rPr lang="en-GB"/>
            <a:t>By end of March</a:t>
          </a:r>
        </a:p>
      </dgm:t>
    </dgm:pt>
    <dgm:pt modelId="{440509E1-BD97-4BAC-822D-47434B1DA056}" type="parTrans" cxnId="{80631509-1A72-4679-AACF-A310F10BD905}">
      <dgm:prSet/>
      <dgm:spPr/>
      <dgm:t>
        <a:bodyPr/>
        <a:lstStyle/>
        <a:p>
          <a:endParaRPr lang="en-GB"/>
        </a:p>
      </dgm:t>
    </dgm:pt>
    <dgm:pt modelId="{D6C39C80-E43F-437D-A42C-34BCC457B40F}" type="sibTrans" cxnId="{80631509-1A72-4679-AACF-A310F10BD905}">
      <dgm:prSet/>
      <dgm:spPr/>
      <dgm:t>
        <a:bodyPr/>
        <a:lstStyle/>
        <a:p>
          <a:endParaRPr lang="en-GB"/>
        </a:p>
      </dgm:t>
    </dgm:pt>
    <dgm:pt modelId="{0C8A9E88-AB80-47D9-97AF-F0C73BCE0224}">
      <dgm:prSet phldrT="[Text]"/>
      <dgm:spPr/>
      <dgm:t>
        <a:bodyPr/>
        <a:lstStyle/>
        <a:p>
          <a:r>
            <a:rPr lang="en-GB"/>
            <a:t>Programme director completes annual programme monitoring report for postgraduate programmes</a:t>
          </a:r>
        </a:p>
      </dgm:t>
    </dgm:pt>
    <dgm:pt modelId="{88A0490B-F684-46CC-8770-1CCEF6C36CE3}" type="parTrans" cxnId="{81AB637C-0C11-4B0B-A9D6-04838D1BD18E}">
      <dgm:prSet/>
      <dgm:spPr/>
      <dgm:t>
        <a:bodyPr/>
        <a:lstStyle/>
        <a:p>
          <a:endParaRPr lang="en-GB"/>
        </a:p>
      </dgm:t>
    </dgm:pt>
    <dgm:pt modelId="{690BE574-7F16-4BDD-9271-8E487B71484F}" type="sibTrans" cxnId="{81AB637C-0C11-4B0B-A9D6-04838D1BD18E}">
      <dgm:prSet/>
      <dgm:spPr/>
      <dgm:t>
        <a:bodyPr/>
        <a:lstStyle/>
        <a:p>
          <a:endParaRPr lang="en-GB"/>
        </a:p>
      </dgm:t>
    </dgm:pt>
    <dgm:pt modelId="{1C07ECCD-B1BD-45EA-A45F-B33652B8B6E2}">
      <dgm:prSet/>
      <dgm:spPr/>
      <dgm:t>
        <a:bodyPr/>
        <a:lstStyle/>
        <a:p>
          <a:r>
            <a:rPr lang="en-GB"/>
            <a:t>Discussed at Divisional Committee / equivalent</a:t>
          </a:r>
        </a:p>
      </dgm:t>
    </dgm:pt>
    <dgm:pt modelId="{4903FF78-65BF-4B26-9B10-7092768AEE8C}" type="parTrans" cxnId="{4A8DCF8B-1151-4574-8FAD-873CA5EE1CBA}">
      <dgm:prSet/>
      <dgm:spPr/>
      <dgm:t>
        <a:bodyPr/>
        <a:lstStyle/>
        <a:p>
          <a:endParaRPr lang="en-GB"/>
        </a:p>
      </dgm:t>
    </dgm:pt>
    <dgm:pt modelId="{F259D723-927C-4119-87C7-7A79BEB6335E}" type="sibTrans" cxnId="{4A8DCF8B-1151-4574-8FAD-873CA5EE1CBA}">
      <dgm:prSet/>
      <dgm:spPr/>
      <dgm:t>
        <a:bodyPr/>
        <a:lstStyle/>
        <a:p>
          <a:endParaRPr lang="en-GB"/>
        </a:p>
      </dgm:t>
    </dgm:pt>
    <dgm:pt modelId="{78473445-1D54-4D10-999B-120EF98456AB}">
      <dgm:prSet/>
      <dgm:spPr/>
      <dgm:t>
        <a:bodyPr/>
        <a:lstStyle/>
        <a:p>
          <a:r>
            <a:rPr lang="en-GB"/>
            <a:t>Forwarded to Faculty Learning and Teaching Committee for ADLT to review</a:t>
          </a:r>
        </a:p>
      </dgm:t>
    </dgm:pt>
    <dgm:pt modelId="{30FA3F5A-46C2-418F-835A-110F12AA9DDF}" type="parTrans" cxnId="{A8CCBF2B-8F56-49F8-B779-C458F9F0408F}">
      <dgm:prSet/>
      <dgm:spPr/>
      <dgm:t>
        <a:bodyPr/>
        <a:lstStyle/>
        <a:p>
          <a:endParaRPr lang="en-GB"/>
        </a:p>
      </dgm:t>
    </dgm:pt>
    <dgm:pt modelId="{2F3B5929-74BB-49CE-9EF5-372AE271F536}" type="sibTrans" cxnId="{A8CCBF2B-8F56-49F8-B779-C458F9F0408F}">
      <dgm:prSet/>
      <dgm:spPr/>
      <dgm:t>
        <a:bodyPr/>
        <a:lstStyle/>
        <a:p>
          <a:endParaRPr lang="en-GB"/>
        </a:p>
      </dgm:t>
    </dgm:pt>
    <dgm:pt modelId="{DC8CF790-7F3B-48B2-A72C-18F7BAC402BC}">
      <dgm:prSet phldrT="[Text]"/>
      <dgm:spPr/>
      <dgm:t>
        <a:bodyPr/>
        <a:lstStyle/>
        <a:p>
          <a:r>
            <a:rPr lang="en-GB"/>
            <a:t>ADLT completes Faculty Summary Report for postgraduate programmes</a:t>
          </a:r>
        </a:p>
      </dgm:t>
    </dgm:pt>
    <dgm:pt modelId="{EEAE83ED-DA8B-4950-98C4-B9E329D87D6F}" type="parTrans" cxnId="{B62523BA-E58F-41F8-B425-9C4F2AB78168}">
      <dgm:prSet/>
      <dgm:spPr/>
      <dgm:t>
        <a:bodyPr/>
        <a:lstStyle/>
        <a:p>
          <a:endParaRPr lang="en-GB"/>
        </a:p>
      </dgm:t>
    </dgm:pt>
    <dgm:pt modelId="{0F5427C8-5832-4C05-AF64-FDFC63BD67D1}" type="sibTrans" cxnId="{B62523BA-E58F-41F8-B425-9C4F2AB78168}">
      <dgm:prSet/>
      <dgm:spPr/>
      <dgm:t>
        <a:bodyPr/>
        <a:lstStyle/>
        <a:p>
          <a:endParaRPr lang="en-GB"/>
        </a:p>
      </dgm:t>
    </dgm:pt>
    <dgm:pt modelId="{D4139163-38FE-401E-8739-CBCFEDF08861}">
      <dgm:prSet/>
      <dgm:spPr/>
      <dgm:t>
        <a:bodyPr/>
        <a:lstStyle/>
        <a:p>
          <a:r>
            <a:rPr lang="en-GB"/>
            <a:t>ADLT forwards to AQG via quality@stir.ac.uk</a:t>
          </a:r>
        </a:p>
      </dgm:t>
    </dgm:pt>
    <dgm:pt modelId="{C6251424-3046-44AF-8530-A1EE6D2BDB1A}" type="parTrans" cxnId="{C98B8589-33BD-403F-9A82-BFF7651118D5}">
      <dgm:prSet/>
      <dgm:spPr/>
      <dgm:t>
        <a:bodyPr/>
        <a:lstStyle/>
        <a:p>
          <a:endParaRPr lang="en-GB"/>
        </a:p>
      </dgm:t>
    </dgm:pt>
    <dgm:pt modelId="{9F4CBBF0-0E82-4050-B732-4C4E45C60C50}" type="sibTrans" cxnId="{C98B8589-33BD-403F-9A82-BFF7651118D5}">
      <dgm:prSet/>
      <dgm:spPr/>
      <dgm:t>
        <a:bodyPr/>
        <a:lstStyle/>
        <a:p>
          <a:endParaRPr lang="en-GB"/>
        </a:p>
      </dgm:t>
    </dgm:pt>
    <dgm:pt modelId="{E84BEC8B-4FD6-4562-B425-1F91BEB4866C}">
      <dgm:prSet/>
      <dgm:spPr>
        <a:solidFill>
          <a:schemeClr val="accent6">
            <a:lumMod val="75000"/>
          </a:schemeClr>
        </a:solidFill>
      </dgm:spPr>
      <dgm:t>
        <a:bodyPr/>
        <a:lstStyle/>
        <a:p>
          <a:r>
            <a:rPr lang="en-GB"/>
            <a:t>April</a:t>
          </a:r>
        </a:p>
      </dgm:t>
    </dgm:pt>
    <dgm:pt modelId="{ACEF8FAF-B887-4457-A5CC-041D3BF0870D}" type="parTrans" cxnId="{AD0FBBDE-EED0-4D5E-881F-EBCA423EF59E}">
      <dgm:prSet/>
      <dgm:spPr/>
      <dgm:t>
        <a:bodyPr/>
        <a:lstStyle/>
        <a:p>
          <a:endParaRPr lang="en-GB"/>
        </a:p>
      </dgm:t>
    </dgm:pt>
    <dgm:pt modelId="{B3FBE8DA-770C-4B05-A380-2EC79CA1AC7F}" type="sibTrans" cxnId="{AD0FBBDE-EED0-4D5E-881F-EBCA423EF59E}">
      <dgm:prSet/>
      <dgm:spPr/>
      <dgm:t>
        <a:bodyPr/>
        <a:lstStyle/>
        <a:p>
          <a:endParaRPr lang="en-GB"/>
        </a:p>
      </dgm:t>
    </dgm:pt>
    <dgm:pt modelId="{B8CDFFC1-76F2-4730-81A6-EEF686EC4B2C}">
      <dgm:prSet/>
      <dgm:spPr/>
      <dgm:t>
        <a:bodyPr/>
        <a:lstStyle/>
        <a:p>
          <a:r>
            <a:rPr lang="en-GB"/>
            <a:t>ULTQC meeting takes place</a:t>
          </a:r>
        </a:p>
      </dgm:t>
    </dgm:pt>
    <dgm:pt modelId="{574DB98F-9396-4273-B918-C200B73E497E}" type="parTrans" cxnId="{821425E9-44EE-4023-9CBD-04C3FDAF3A9B}">
      <dgm:prSet/>
      <dgm:spPr/>
      <dgm:t>
        <a:bodyPr/>
        <a:lstStyle/>
        <a:p>
          <a:endParaRPr lang="en-GB"/>
        </a:p>
      </dgm:t>
    </dgm:pt>
    <dgm:pt modelId="{5ADE094A-17F0-40C3-B6A0-620F5A6AA809}" type="sibTrans" cxnId="{821425E9-44EE-4023-9CBD-04C3FDAF3A9B}">
      <dgm:prSet/>
      <dgm:spPr/>
      <dgm:t>
        <a:bodyPr/>
        <a:lstStyle/>
        <a:p>
          <a:endParaRPr lang="en-GB"/>
        </a:p>
      </dgm:t>
    </dgm:pt>
    <dgm:pt modelId="{A9A26F09-21EC-4A10-A245-BCC6D7024087}">
      <dgm:prSet/>
      <dgm:spPr/>
      <dgm:t>
        <a:bodyPr/>
        <a:lstStyle/>
        <a:p>
          <a:r>
            <a:rPr lang="en-GB"/>
            <a:t>Postgraduate programme summary reports discussed by ULTQC and any points of follow up or development will be communicated by AQG to Faculties</a:t>
          </a:r>
        </a:p>
      </dgm:t>
    </dgm:pt>
    <dgm:pt modelId="{3C2BC1B6-10A5-405F-BB9D-40F6398A550A}" type="parTrans" cxnId="{7B28B3CF-A814-4E90-B18B-AB18B69EA9C8}">
      <dgm:prSet/>
      <dgm:spPr/>
      <dgm:t>
        <a:bodyPr/>
        <a:lstStyle/>
        <a:p>
          <a:endParaRPr lang="en-GB"/>
        </a:p>
      </dgm:t>
    </dgm:pt>
    <dgm:pt modelId="{177017CC-339F-4FEC-AC85-5E3AA7A89A31}" type="sibTrans" cxnId="{7B28B3CF-A814-4E90-B18B-AB18B69EA9C8}">
      <dgm:prSet/>
      <dgm:spPr/>
      <dgm:t>
        <a:bodyPr/>
        <a:lstStyle/>
        <a:p>
          <a:endParaRPr lang="en-GB"/>
        </a:p>
      </dgm:t>
    </dgm:pt>
    <dgm:pt modelId="{947C2C79-8DCA-4DD3-A9DE-4CF7843EC5F4}">
      <dgm:prSet phldrT="[Text]"/>
      <dgm:spPr/>
      <dgm:t>
        <a:bodyPr/>
        <a:lstStyle/>
        <a:p>
          <a:r>
            <a:rPr lang="en-GB"/>
            <a:t>Undergraduate institutional summary reports discussed by ULTQC and any points of follow up or development will be communicated by AQG to Faculties</a:t>
          </a:r>
        </a:p>
      </dgm:t>
    </dgm:pt>
    <dgm:pt modelId="{EB8B77A5-A381-4D06-A0B8-FA69A4C63FDC}" type="parTrans" cxnId="{52367F8A-03A7-4853-B953-03E0E550CB37}">
      <dgm:prSet/>
      <dgm:spPr/>
      <dgm:t>
        <a:bodyPr/>
        <a:lstStyle/>
        <a:p>
          <a:endParaRPr lang="en-GB"/>
        </a:p>
      </dgm:t>
    </dgm:pt>
    <dgm:pt modelId="{15151FB8-7F6C-47EA-AE33-6D26F3D7D45B}" type="sibTrans" cxnId="{52367F8A-03A7-4853-B953-03E0E550CB37}">
      <dgm:prSet/>
      <dgm:spPr/>
      <dgm:t>
        <a:bodyPr/>
        <a:lstStyle/>
        <a:p>
          <a:endParaRPr lang="en-GB"/>
        </a:p>
      </dgm:t>
    </dgm:pt>
    <dgm:pt modelId="{4266DFAC-2EED-47DE-8A4D-27D5578DA780}">
      <dgm:prSet phldrT="[Text]"/>
      <dgm:spPr/>
      <dgm:t>
        <a:bodyPr/>
        <a:lstStyle/>
        <a:p>
          <a:r>
            <a:rPr lang="en-GB"/>
            <a:t>When finalised, upload to the Quality Monitoring Repository SharePoint site</a:t>
          </a:r>
        </a:p>
      </dgm:t>
    </dgm:pt>
    <dgm:pt modelId="{F9356348-0B4E-4B98-B966-6AAABEA9BDCE}" type="parTrans" cxnId="{49B2E8C3-3153-4649-A50C-58DF246DCF9D}">
      <dgm:prSet/>
      <dgm:spPr/>
      <dgm:t>
        <a:bodyPr/>
        <a:lstStyle/>
        <a:p>
          <a:endParaRPr lang="en-GB"/>
        </a:p>
      </dgm:t>
    </dgm:pt>
    <dgm:pt modelId="{6AD99040-73EB-4118-A56F-BD7143C93921}" type="sibTrans" cxnId="{49B2E8C3-3153-4649-A50C-58DF246DCF9D}">
      <dgm:prSet/>
      <dgm:spPr/>
      <dgm:t>
        <a:bodyPr/>
        <a:lstStyle/>
        <a:p>
          <a:endParaRPr lang="en-GB"/>
        </a:p>
      </dgm:t>
    </dgm:pt>
    <dgm:pt modelId="{4832F0AE-53E0-4385-ACDE-087990E7D406}">
      <dgm:prSet phldrT="[Text]"/>
      <dgm:spPr/>
      <dgm:t>
        <a:bodyPr/>
        <a:lstStyle/>
        <a:p>
          <a:r>
            <a:rPr lang="en-GB"/>
            <a:t>When finalised, uplaod a copy to the Quality Monitoring Repository SharePoint site</a:t>
          </a:r>
        </a:p>
      </dgm:t>
    </dgm:pt>
    <dgm:pt modelId="{AAC6C5D9-25D9-479D-982C-07D67E4F1E42}" type="parTrans" cxnId="{A7D9681B-E2F4-41E9-8AC8-1EDD816EE868}">
      <dgm:prSet/>
      <dgm:spPr/>
      <dgm:t>
        <a:bodyPr/>
        <a:lstStyle/>
        <a:p>
          <a:endParaRPr lang="en-GB"/>
        </a:p>
      </dgm:t>
    </dgm:pt>
    <dgm:pt modelId="{60113672-4857-4DAD-BB48-93368EDCC127}" type="sibTrans" cxnId="{A7D9681B-E2F4-41E9-8AC8-1EDD816EE868}">
      <dgm:prSet/>
      <dgm:spPr/>
      <dgm:t>
        <a:bodyPr/>
        <a:lstStyle/>
        <a:p>
          <a:endParaRPr lang="en-GB"/>
        </a:p>
      </dgm:t>
    </dgm:pt>
    <dgm:pt modelId="{BB6A21CC-ABBA-4FF2-942B-038D168060AC}">
      <dgm:prSet/>
      <dgm:spPr/>
      <dgm:t>
        <a:bodyPr/>
        <a:lstStyle/>
        <a:p>
          <a:r>
            <a:rPr lang="en-GB"/>
            <a:t>When finalised, upload a copy to the Quality Monitoring Repository SharePoint site</a:t>
          </a:r>
        </a:p>
      </dgm:t>
    </dgm:pt>
    <dgm:pt modelId="{97BFC99F-E679-4AD7-8657-39737078666A}" type="parTrans" cxnId="{3C16220D-6704-4C18-9EA2-58CA566953CD}">
      <dgm:prSet/>
      <dgm:spPr/>
      <dgm:t>
        <a:bodyPr/>
        <a:lstStyle/>
        <a:p>
          <a:endParaRPr lang="en-GB"/>
        </a:p>
      </dgm:t>
    </dgm:pt>
    <dgm:pt modelId="{AC2A8C52-E76A-49B3-901E-D433F4003825}" type="sibTrans" cxnId="{3C16220D-6704-4C18-9EA2-58CA566953CD}">
      <dgm:prSet/>
      <dgm:spPr/>
      <dgm:t>
        <a:bodyPr/>
        <a:lstStyle/>
        <a:p>
          <a:endParaRPr lang="en-GB"/>
        </a:p>
      </dgm:t>
    </dgm:pt>
    <dgm:pt modelId="{4FC0201C-87BB-4309-A93E-E05D0266DD61}">
      <dgm:prSet/>
      <dgm:spPr/>
      <dgm:t>
        <a:bodyPr/>
        <a:lstStyle/>
        <a:p>
          <a:r>
            <a:rPr lang="en-GB"/>
            <a:t>AQG carries out institutional quality review and prepares an institutional summary report</a:t>
          </a:r>
        </a:p>
      </dgm:t>
    </dgm:pt>
    <dgm:pt modelId="{E9CA200A-7BF4-4546-B38C-BF5092682529}" type="parTrans" cxnId="{7C9A8706-503D-47FD-A706-F0236EA1700B}">
      <dgm:prSet/>
      <dgm:spPr/>
      <dgm:t>
        <a:bodyPr/>
        <a:lstStyle/>
        <a:p>
          <a:endParaRPr lang="en-GB"/>
        </a:p>
      </dgm:t>
    </dgm:pt>
    <dgm:pt modelId="{52DF1967-B5D8-440D-A578-DD3405169650}" type="sibTrans" cxnId="{7C9A8706-503D-47FD-A706-F0236EA1700B}">
      <dgm:prSet/>
      <dgm:spPr/>
      <dgm:t>
        <a:bodyPr/>
        <a:lstStyle/>
        <a:p>
          <a:endParaRPr lang="en-GB"/>
        </a:p>
      </dgm:t>
    </dgm:pt>
    <dgm:pt modelId="{98AA2296-B806-414E-AE05-922C5B87A35C}">
      <dgm:prSet/>
      <dgm:spPr/>
      <dgm:t>
        <a:bodyPr/>
        <a:lstStyle/>
        <a:p>
          <a:r>
            <a:rPr lang="en-GB"/>
            <a:t>AQG carries out institutional quality review and prepares an institutional summary report</a:t>
          </a:r>
        </a:p>
      </dgm:t>
    </dgm:pt>
    <dgm:pt modelId="{80F244AD-14AA-4EF0-A700-B5E3853C8EE5}" type="parTrans" cxnId="{A96E65F7-570E-40C3-AC04-F26B426266AD}">
      <dgm:prSet/>
      <dgm:spPr/>
      <dgm:t>
        <a:bodyPr/>
        <a:lstStyle/>
        <a:p>
          <a:endParaRPr lang="en-GB"/>
        </a:p>
      </dgm:t>
    </dgm:pt>
    <dgm:pt modelId="{D02A5B00-248F-4A36-8E09-2F055078ED84}" type="sibTrans" cxnId="{A96E65F7-570E-40C3-AC04-F26B426266AD}">
      <dgm:prSet/>
      <dgm:spPr/>
      <dgm:t>
        <a:bodyPr/>
        <a:lstStyle/>
        <a:p>
          <a:endParaRPr lang="en-GB"/>
        </a:p>
      </dgm:t>
    </dgm:pt>
    <dgm:pt modelId="{1DB99EDB-9098-4135-B0A1-63BB971F2633}" type="pres">
      <dgm:prSet presAssocID="{64922F31-D8E1-4A5E-A5A8-9D4F0A5BF68D}" presName="Name0" presStyleCnt="0">
        <dgm:presLayoutVars>
          <dgm:dir/>
          <dgm:animLvl val="lvl"/>
          <dgm:resizeHandles val="exact"/>
        </dgm:presLayoutVars>
      </dgm:prSet>
      <dgm:spPr/>
    </dgm:pt>
    <dgm:pt modelId="{9118F947-82C7-4BAA-B050-5DA7D8D5D972}" type="pres">
      <dgm:prSet presAssocID="{99D25D04-E834-4C0D-95C5-3E9D08947656}" presName="composite" presStyleCnt="0"/>
      <dgm:spPr/>
    </dgm:pt>
    <dgm:pt modelId="{080D4C0B-3CAC-4C26-8EB5-96A1D7E08D26}" type="pres">
      <dgm:prSet presAssocID="{99D25D04-E834-4C0D-95C5-3E9D08947656}" presName="parTx" presStyleLbl="node1" presStyleIdx="0" presStyleCnt="7">
        <dgm:presLayoutVars>
          <dgm:chMax val="0"/>
          <dgm:chPref val="0"/>
          <dgm:bulletEnabled val="1"/>
        </dgm:presLayoutVars>
      </dgm:prSet>
      <dgm:spPr/>
    </dgm:pt>
    <dgm:pt modelId="{C675BF84-58A7-42C1-861D-0AC61BDD17E2}" type="pres">
      <dgm:prSet presAssocID="{99D25D04-E834-4C0D-95C5-3E9D08947656}" presName="desTx" presStyleLbl="revTx" presStyleIdx="0" presStyleCnt="7">
        <dgm:presLayoutVars>
          <dgm:bulletEnabled val="1"/>
        </dgm:presLayoutVars>
      </dgm:prSet>
      <dgm:spPr/>
    </dgm:pt>
    <dgm:pt modelId="{D48A5D75-1180-424D-9AB5-847552B2A752}" type="pres">
      <dgm:prSet presAssocID="{8E340BEC-627F-4409-8EEA-AC17F3EDD1AE}" presName="space" presStyleCnt="0"/>
      <dgm:spPr/>
    </dgm:pt>
    <dgm:pt modelId="{A298E6A7-4918-417B-868D-527CD3924986}" type="pres">
      <dgm:prSet presAssocID="{11BCE5FC-FF7E-4B1E-BE21-3AD0CE03D522}" presName="composite" presStyleCnt="0"/>
      <dgm:spPr/>
    </dgm:pt>
    <dgm:pt modelId="{1997A537-9699-4668-AD84-476837D7DFAB}" type="pres">
      <dgm:prSet presAssocID="{11BCE5FC-FF7E-4B1E-BE21-3AD0CE03D522}" presName="parTx" presStyleLbl="node1" presStyleIdx="1" presStyleCnt="7">
        <dgm:presLayoutVars>
          <dgm:chMax val="0"/>
          <dgm:chPref val="0"/>
          <dgm:bulletEnabled val="1"/>
        </dgm:presLayoutVars>
      </dgm:prSet>
      <dgm:spPr/>
    </dgm:pt>
    <dgm:pt modelId="{FF0B9F97-0324-4A42-81A5-5C7D1CCAD536}" type="pres">
      <dgm:prSet presAssocID="{11BCE5FC-FF7E-4B1E-BE21-3AD0CE03D522}" presName="desTx" presStyleLbl="revTx" presStyleIdx="1" presStyleCnt="7">
        <dgm:presLayoutVars>
          <dgm:bulletEnabled val="1"/>
        </dgm:presLayoutVars>
      </dgm:prSet>
      <dgm:spPr/>
    </dgm:pt>
    <dgm:pt modelId="{94EF3D53-26CB-4EDD-9729-4782C67D3C26}" type="pres">
      <dgm:prSet presAssocID="{262470B0-5458-47B7-9A80-3A4141C6B5B5}" presName="space" presStyleCnt="0"/>
      <dgm:spPr/>
    </dgm:pt>
    <dgm:pt modelId="{7AEFE6ED-BEDD-4B19-8AEF-678AC0801908}" type="pres">
      <dgm:prSet presAssocID="{8BE3BE67-2CF2-47D6-AF8D-6048C3B47880}" presName="composite" presStyleCnt="0"/>
      <dgm:spPr/>
    </dgm:pt>
    <dgm:pt modelId="{40DE4CA3-1A15-4C03-ABC2-FECB739C026D}" type="pres">
      <dgm:prSet presAssocID="{8BE3BE67-2CF2-47D6-AF8D-6048C3B47880}" presName="parTx" presStyleLbl="node1" presStyleIdx="2" presStyleCnt="7">
        <dgm:presLayoutVars>
          <dgm:chMax val="0"/>
          <dgm:chPref val="0"/>
          <dgm:bulletEnabled val="1"/>
        </dgm:presLayoutVars>
      </dgm:prSet>
      <dgm:spPr/>
    </dgm:pt>
    <dgm:pt modelId="{BCB8F603-8238-47E0-B47D-F338EC93A79A}" type="pres">
      <dgm:prSet presAssocID="{8BE3BE67-2CF2-47D6-AF8D-6048C3B47880}" presName="desTx" presStyleLbl="revTx" presStyleIdx="2" presStyleCnt="7">
        <dgm:presLayoutVars>
          <dgm:bulletEnabled val="1"/>
        </dgm:presLayoutVars>
      </dgm:prSet>
      <dgm:spPr/>
    </dgm:pt>
    <dgm:pt modelId="{DF9F11DD-15AE-422E-8283-3F066CB929F2}" type="pres">
      <dgm:prSet presAssocID="{7177526E-13A6-4B89-8F61-33A9C1373137}" presName="space" presStyleCnt="0"/>
      <dgm:spPr/>
    </dgm:pt>
    <dgm:pt modelId="{A244B839-2996-494B-8703-6416E64EC185}" type="pres">
      <dgm:prSet presAssocID="{F8F402A4-8685-486C-8B0C-FC50EB9030AE}" presName="composite" presStyleCnt="0"/>
      <dgm:spPr/>
    </dgm:pt>
    <dgm:pt modelId="{E469F524-80D2-4BE4-832E-CC3910E2DD4D}" type="pres">
      <dgm:prSet presAssocID="{F8F402A4-8685-486C-8B0C-FC50EB9030AE}" presName="parTx" presStyleLbl="node1" presStyleIdx="3" presStyleCnt="7">
        <dgm:presLayoutVars>
          <dgm:chMax val="0"/>
          <dgm:chPref val="0"/>
          <dgm:bulletEnabled val="1"/>
        </dgm:presLayoutVars>
      </dgm:prSet>
      <dgm:spPr/>
    </dgm:pt>
    <dgm:pt modelId="{06AB1FCF-1989-4168-B091-15795B03A14F}" type="pres">
      <dgm:prSet presAssocID="{F8F402A4-8685-486C-8B0C-FC50EB9030AE}" presName="desTx" presStyleLbl="revTx" presStyleIdx="3" presStyleCnt="7">
        <dgm:presLayoutVars>
          <dgm:bulletEnabled val="1"/>
        </dgm:presLayoutVars>
      </dgm:prSet>
      <dgm:spPr/>
    </dgm:pt>
    <dgm:pt modelId="{41AB72C1-E4AD-4717-AD28-FDA54A7D097E}" type="pres">
      <dgm:prSet presAssocID="{9586ADF8-D60F-47D1-9D29-B4CB35CEDC2B}" presName="space" presStyleCnt="0"/>
      <dgm:spPr/>
    </dgm:pt>
    <dgm:pt modelId="{B6EA6FD2-5AC3-4603-96D9-C30B45896536}" type="pres">
      <dgm:prSet presAssocID="{B1D24891-A7FA-4162-AB1F-BBC443943F8E}" presName="composite" presStyleCnt="0"/>
      <dgm:spPr/>
    </dgm:pt>
    <dgm:pt modelId="{9322B9DD-C197-4595-8BFE-6D05D3C1B80D}" type="pres">
      <dgm:prSet presAssocID="{B1D24891-A7FA-4162-AB1F-BBC443943F8E}" presName="parTx" presStyleLbl="node1" presStyleIdx="4" presStyleCnt="7">
        <dgm:presLayoutVars>
          <dgm:chMax val="0"/>
          <dgm:chPref val="0"/>
          <dgm:bulletEnabled val="1"/>
        </dgm:presLayoutVars>
      </dgm:prSet>
      <dgm:spPr/>
    </dgm:pt>
    <dgm:pt modelId="{B690A11D-FF38-41D2-AA3A-8862BBFB705D}" type="pres">
      <dgm:prSet presAssocID="{B1D24891-A7FA-4162-AB1F-BBC443943F8E}" presName="desTx" presStyleLbl="revTx" presStyleIdx="4" presStyleCnt="7">
        <dgm:presLayoutVars>
          <dgm:bulletEnabled val="1"/>
        </dgm:presLayoutVars>
      </dgm:prSet>
      <dgm:spPr/>
    </dgm:pt>
    <dgm:pt modelId="{31B8A9AF-1F0B-4FE0-B106-D7646B6C2811}" type="pres">
      <dgm:prSet presAssocID="{96C47EB4-AA67-4AAB-97F4-3C4A233BD2DC}" presName="space" presStyleCnt="0"/>
      <dgm:spPr/>
    </dgm:pt>
    <dgm:pt modelId="{C4869600-07E4-4DA2-B84A-AB9B1BE5E6AA}" type="pres">
      <dgm:prSet presAssocID="{905425AE-77A4-4C51-82E7-C792DE49AB39}" presName="composite" presStyleCnt="0"/>
      <dgm:spPr/>
    </dgm:pt>
    <dgm:pt modelId="{6CBFCC03-A835-4F5A-8868-F02206A7982D}" type="pres">
      <dgm:prSet presAssocID="{905425AE-77A4-4C51-82E7-C792DE49AB39}" presName="parTx" presStyleLbl="node1" presStyleIdx="5" presStyleCnt="7">
        <dgm:presLayoutVars>
          <dgm:chMax val="0"/>
          <dgm:chPref val="0"/>
          <dgm:bulletEnabled val="1"/>
        </dgm:presLayoutVars>
      </dgm:prSet>
      <dgm:spPr/>
    </dgm:pt>
    <dgm:pt modelId="{46AF307F-BA5E-4428-A7AF-5A1E5EDEB51D}" type="pres">
      <dgm:prSet presAssocID="{905425AE-77A4-4C51-82E7-C792DE49AB39}" presName="desTx" presStyleLbl="revTx" presStyleIdx="5" presStyleCnt="7">
        <dgm:presLayoutVars>
          <dgm:bulletEnabled val="1"/>
        </dgm:presLayoutVars>
      </dgm:prSet>
      <dgm:spPr/>
    </dgm:pt>
    <dgm:pt modelId="{A7478FDC-D520-4D84-8176-F574304AAE05}" type="pres">
      <dgm:prSet presAssocID="{D6C39C80-E43F-437D-A42C-34BCC457B40F}" presName="space" presStyleCnt="0"/>
      <dgm:spPr/>
    </dgm:pt>
    <dgm:pt modelId="{E85CD100-CA75-4D8F-A3FF-EA938A800C14}" type="pres">
      <dgm:prSet presAssocID="{E84BEC8B-4FD6-4562-B425-1F91BEB4866C}" presName="composite" presStyleCnt="0"/>
      <dgm:spPr/>
    </dgm:pt>
    <dgm:pt modelId="{8CA2BDB1-B8FD-4CBC-92CD-A5053B214BA7}" type="pres">
      <dgm:prSet presAssocID="{E84BEC8B-4FD6-4562-B425-1F91BEB4866C}" presName="parTx" presStyleLbl="node1" presStyleIdx="6" presStyleCnt="7">
        <dgm:presLayoutVars>
          <dgm:chMax val="0"/>
          <dgm:chPref val="0"/>
          <dgm:bulletEnabled val="1"/>
        </dgm:presLayoutVars>
      </dgm:prSet>
      <dgm:spPr/>
    </dgm:pt>
    <dgm:pt modelId="{0B7350D3-6CEF-40C8-99D0-8E1B4C87AE10}" type="pres">
      <dgm:prSet presAssocID="{E84BEC8B-4FD6-4562-B425-1F91BEB4866C}" presName="desTx" presStyleLbl="revTx" presStyleIdx="6" presStyleCnt="7">
        <dgm:presLayoutVars>
          <dgm:bulletEnabled val="1"/>
        </dgm:presLayoutVars>
      </dgm:prSet>
      <dgm:spPr/>
    </dgm:pt>
  </dgm:ptLst>
  <dgm:cxnLst>
    <dgm:cxn modelId="{0D1DF505-0ACD-49C5-A2F9-226CCB7B1F38}" type="presOf" srcId="{4832F0AE-53E0-4385-ACDE-087990E7D406}" destId="{C675BF84-58A7-42C1-861D-0AC61BDD17E2}" srcOrd="0" destOrd="2" presId="urn:microsoft.com/office/officeart/2005/8/layout/chevron1"/>
    <dgm:cxn modelId="{15D82E06-0A20-4EC9-B098-4C2E2F5C1C54}" type="presOf" srcId="{0C8A9E88-AB80-47D9-97AF-F0C73BCE0224}" destId="{B690A11D-FF38-41D2-AA3A-8862BBFB705D}" srcOrd="0" destOrd="0" presId="urn:microsoft.com/office/officeart/2005/8/layout/chevron1"/>
    <dgm:cxn modelId="{7C9A8706-503D-47FD-A706-F0236EA1700B}" srcId="{8BE3BE67-2CF2-47D6-AF8D-6048C3B47880}" destId="{4FC0201C-87BB-4309-A93E-E05D0266DD61}" srcOrd="2" destOrd="0" parTransId="{E9CA200A-7BF4-4546-B38C-BF5092682529}" sibTransId="{52DF1967-B5D8-440D-A578-DD3405169650}"/>
    <dgm:cxn modelId="{80631509-1A72-4679-AACF-A310F10BD905}" srcId="{64922F31-D8E1-4A5E-A5A8-9D4F0A5BF68D}" destId="{905425AE-77A4-4C51-82E7-C792DE49AB39}" srcOrd="5" destOrd="0" parTransId="{440509E1-BD97-4BAC-822D-47434B1DA056}" sibTransId="{D6C39C80-E43F-437D-A42C-34BCC457B40F}"/>
    <dgm:cxn modelId="{65609509-5867-40FC-8E38-710AC20D5213}" type="presOf" srcId="{1C07ECCD-B1BD-45EA-A45F-B33652B8B6E2}" destId="{B690A11D-FF38-41D2-AA3A-8862BBFB705D}" srcOrd="0" destOrd="1" presId="urn:microsoft.com/office/officeart/2005/8/layout/chevron1"/>
    <dgm:cxn modelId="{80A7420A-B858-40B2-8B6E-D69675CF5DC2}" srcId="{99D25D04-E834-4C0D-95C5-3E9D08947656}" destId="{E214EA8C-6C75-4A61-92EA-62C12889B3F2}" srcOrd="0" destOrd="0" parTransId="{0FFBA267-4019-4839-BE17-9276EF1F6BA9}" sibTransId="{CDB6B6F0-2148-4E13-AA01-4077E03ED43E}"/>
    <dgm:cxn modelId="{3C16220D-6704-4C18-9EA2-58CA566953CD}" srcId="{B1D24891-A7FA-4162-AB1F-BBC443943F8E}" destId="{BB6A21CC-ABBA-4FF2-942B-038D168060AC}" srcOrd="3" destOrd="0" parTransId="{97BFC99F-E679-4AD7-8657-39737078666A}" sibTransId="{AC2A8C52-E76A-49B3-901E-D433F4003825}"/>
    <dgm:cxn modelId="{9BB93D11-F15F-43B3-BD20-AA43EBBCF611}" type="presOf" srcId="{CA3B6C0D-EAC0-49D6-804D-49511F6C7A58}" destId="{BCB8F603-8238-47E0-B47D-F338EC93A79A}" srcOrd="0" destOrd="1" presId="urn:microsoft.com/office/officeart/2005/8/layout/chevron1"/>
    <dgm:cxn modelId="{A7D9681B-E2F4-41E9-8AC8-1EDD816EE868}" srcId="{99D25D04-E834-4C0D-95C5-3E9D08947656}" destId="{4832F0AE-53E0-4385-ACDE-087990E7D406}" srcOrd="2" destOrd="0" parTransId="{AAC6C5D9-25D9-479D-982C-07D67E4F1E42}" sibTransId="{60113672-4857-4DAD-BB48-93368EDCC127}"/>
    <dgm:cxn modelId="{A8CCBF2B-8F56-49F8-B779-C458F9F0408F}" srcId="{B1D24891-A7FA-4162-AB1F-BBC443943F8E}" destId="{78473445-1D54-4D10-999B-120EF98456AB}" srcOrd="2" destOrd="0" parTransId="{30FA3F5A-46C2-418F-835A-110F12AA9DDF}" sibTransId="{2F3B5929-74BB-49CE-9EF5-372AE271F536}"/>
    <dgm:cxn modelId="{AB5E372C-B5E3-46CB-A5A7-E690107D5C10}" type="presOf" srcId="{A9A26F09-21EC-4A10-A245-BCC6D7024087}" destId="{0B7350D3-6CEF-40C8-99D0-8E1B4C87AE10}" srcOrd="0" destOrd="1" presId="urn:microsoft.com/office/officeart/2005/8/layout/chevron1"/>
    <dgm:cxn modelId="{ACE84932-329D-4224-A4A8-454E39D708EA}" type="presOf" srcId="{B43B8DCB-91F3-43E8-8A4B-21D2FD0EBD90}" destId="{FF0B9F97-0324-4A42-81A5-5C7D1CCAD536}" srcOrd="0" destOrd="0" presId="urn:microsoft.com/office/officeart/2005/8/layout/chevron1"/>
    <dgm:cxn modelId="{6727DB33-8496-414F-84E3-96BBBF55653D}" type="presOf" srcId="{E84BEC8B-4FD6-4562-B425-1F91BEB4866C}" destId="{8CA2BDB1-B8FD-4CBC-92CD-A5053B214BA7}" srcOrd="0" destOrd="0" presId="urn:microsoft.com/office/officeart/2005/8/layout/chevron1"/>
    <dgm:cxn modelId="{51A0223D-5EA0-4263-93A7-744281F86B70}" type="presOf" srcId="{FD6C3218-4B1B-4A5F-BBBC-6F7CE425F856}" destId="{FF0B9F97-0324-4A42-81A5-5C7D1CCAD536}" srcOrd="0" destOrd="2" presId="urn:microsoft.com/office/officeart/2005/8/layout/chevron1"/>
    <dgm:cxn modelId="{ABE0FF3D-CEC0-4BBE-96C2-61099305778D}" srcId="{8BE3BE67-2CF2-47D6-AF8D-6048C3B47880}" destId="{70855A49-426D-4533-94BC-D7C6D913ED1D}" srcOrd="0" destOrd="0" parTransId="{E212BB27-55B8-4E3F-B547-04674E84286D}" sibTransId="{80C34AE8-E614-4B47-B76C-05DBF199E9A9}"/>
    <dgm:cxn modelId="{3F252A3F-C402-4597-8EE9-0D409502B92D}" type="presOf" srcId="{99D25D04-E834-4C0D-95C5-3E9D08947656}" destId="{080D4C0B-3CAC-4C26-8EB5-96A1D7E08D26}" srcOrd="0" destOrd="0" presId="urn:microsoft.com/office/officeart/2005/8/layout/chevron1"/>
    <dgm:cxn modelId="{3AC4BD5C-449F-4808-A004-9681ED720C87}" type="presOf" srcId="{CB46E00F-2A45-4641-9949-29AC28164BCF}" destId="{C675BF84-58A7-42C1-861D-0AC61BDD17E2}" srcOrd="0" destOrd="1" presId="urn:microsoft.com/office/officeart/2005/8/layout/chevron1"/>
    <dgm:cxn modelId="{45D7E05D-A9D1-48E1-8CA3-4800B2E07D5C}" type="presOf" srcId="{78473445-1D54-4D10-999B-120EF98456AB}" destId="{B690A11D-FF38-41D2-AA3A-8862BBFB705D}" srcOrd="0" destOrd="2" presId="urn:microsoft.com/office/officeart/2005/8/layout/chevron1"/>
    <dgm:cxn modelId="{A78C545F-B3E4-4BF1-971D-394B44D96C00}" type="presOf" srcId="{F8F402A4-8685-486C-8B0C-FC50EB9030AE}" destId="{E469F524-80D2-4BE4-832E-CC3910E2DD4D}" srcOrd="0" destOrd="0" presId="urn:microsoft.com/office/officeart/2005/8/layout/chevron1"/>
    <dgm:cxn modelId="{605AFC61-EB92-4849-A014-90C935D63C37}" type="presOf" srcId="{B8CDFFC1-76F2-4730-81A6-EEF686EC4B2C}" destId="{0B7350D3-6CEF-40C8-99D0-8E1B4C87AE10}" srcOrd="0" destOrd="0" presId="urn:microsoft.com/office/officeart/2005/8/layout/chevron1"/>
    <dgm:cxn modelId="{0A260846-1FC4-45A9-BA4F-5A67DA476469}" srcId="{11BCE5FC-FF7E-4B1E-BE21-3AD0CE03D522}" destId="{B43B8DCB-91F3-43E8-8A4B-21D2FD0EBD90}" srcOrd="0" destOrd="0" parTransId="{A4C2C7D6-3FB4-4D4F-BBA2-54E097B957D9}" sibTransId="{D9EA0F78-D7AC-438F-B334-FE07B2524A12}"/>
    <dgm:cxn modelId="{94677547-8FE3-469B-B434-5307DF45AAEE}" type="presOf" srcId="{905425AE-77A4-4C51-82E7-C792DE49AB39}" destId="{6CBFCC03-A835-4F5A-8868-F02206A7982D}" srcOrd="0" destOrd="0" presId="urn:microsoft.com/office/officeart/2005/8/layout/chevron1"/>
    <dgm:cxn modelId="{6CCF794B-386C-4A37-9AD9-D98394A38E66}" srcId="{11BCE5FC-FF7E-4B1E-BE21-3AD0CE03D522}" destId="{FD6C3218-4B1B-4A5F-BBBC-6F7CE425F856}" srcOrd="2" destOrd="0" parTransId="{C72C439D-3CE9-4CF0-A6FA-DA190D750E6F}" sibTransId="{4FBF6ED1-2D21-4EAA-8131-39F53B6F4703}"/>
    <dgm:cxn modelId="{0FD9384F-7A87-4FC4-B69E-3C497B967903}" srcId="{64922F31-D8E1-4A5E-A5A8-9D4F0A5BF68D}" destId="{11BCE5FC-FF7E-4B1E-BE21-3AD0CE03D522}" srcOrd="1" destOrd="0" parTransId="{DE0D8950-2397-401F-A9E4-3F5A25367B71}" sibTransId="{262470B0-5458-47B7-9A80-3A4141C6B5B5}"/>
    <dgm:cxn modelId="{9CC52251-ABB6-43BC-AA3A-DBB0FE0E41E7}" srcId="{64922F31-D8E1-4A5E-A5A8-9D4F0A5BF68D}" destId="{99D25D04-E834-4C0D-95C5-3E9D08947656}" srcOrd="0" destOrd="0" parTransId="{ED5F4B40-9488-455E-B77B-B34D2311DE96}" sibTransId="{8E340BEC-627F-4409-8EEA-AC17F3EDD1AE}"/>
    <dgm:cxn modelId="{42EE3454-B6D5-43AE-8E0F-37EC37F4F1D5}" type="presOf" srcId="{4266DFAC-2EED-47DE-8A4D-27D5578DA780}" destId="{FF0B9F97-0324-4A42-81A5-5C7D1CCAD536}" srcOrd="0" destOrd="3" presId="urn:microsoft.com/office/officeart/2005/8/layout/chevron1"/>
    <dgm:cxn modelId="{84F39756-6405-4508-B0F2-52C1877C8185}" type="presOf" srcId="{DC8CF790-7F3B-48B2-A72C-18F7BAC402BC}" destId="{46AF307F-BA5E-4428-A7AF-5A1E5EDEB51D}" srcOrd="0" destOrd="0" presId="urn:microsoft.com/office/officeart/2005/8/layout/chevron1"/>
    <dgm:cxn modelId="{5CABD359-EE67-47B5-92D6-81BEA148D191}" type="presOf" srcId="{98AA2296-B806-414E-AE05-922C5B87A35C}" destId="{46AF307F-BA5E-4428-A7AF-5A1E5EDEB51D}" srcOrd="0" destOrd="2" presId="urn:microsoft.com/office/officeart/2005/8/layout/chevron1"/>
    <dgm:cxn modelId="{0685D45A-8AA9-4D83-93B1-F186356AE096}" type="presOf" srcId="{D4139163-38FE-401E-8739-CBCFEDF08861}" destId="{46AF307F-BA5E-4428-A7AF-5A1E5EDEB51D}" srcOrd="0" destOrd="1" presId="urn:microsoft.com/office/officeart/2005/8/layout/chevron1"/>
    <dgm:cxn modelId="{2509487B-AD41-407C-84B2-46A96D7C959B}" type="presOf" srcId="{E214EA8C-6C75-4A61-92EA-62C12889B3F2}" destId="{C675BF84-58A7-42C1-861D-0AC61BDD17E2}" srcOrd="0" destOrd="0" presId="urn:microsoft.com/office/officeart/2005/8/layout/chevron1"/>
    <dgm:cxn modelId="{81AB637C-0C11-4B0B-A9D6-04838D1BD18E}" srcId="{B1D24891-A7FA-4162-AB1F-BBC443943F8E}" destId="{0C8A9E88-AB80-47D9-97AF-F0C73BCE0224}" srcOrd="0" destOrd="0" parTransId="{88A0490B-F684-46CC-8770-1CCEF6C36CE3}" sibTransId="{690BE574-7F16-4BDD-9271-8E487B71484F}"/>
    <dgm:cxn modelId="{E9757A80-CF98-49A8-B69E-CC17267C6BB2}" type="presOf" srcId="{4FC0201C-87BB-4309-A93E-E05D0266DD61}" destId="{BCB8F603-8238-47E0-B47D-F338EC93A79A}" srcOrd="0" destOrd="2" presId="urn:microsoft.com/office/officeart/2005/8/layout/chevron1"/>
    <dgm:cxn modelId="{2CC35E82-3A41-4532-82E7-152328641FC7}" srcId="{64922F31-D8E1-4A5E-A5A8-9D4F0A5BF68D}" destId="{8BE3BE67-2CF2-47D6-AF8D-6048C3B47880}" srcOrd="2" destOrd="0" parTransId="{0A672FDA-D33C-4F54-BDAC-6F7B366E9361}" sibTransId="{7177526E-13A6-4B89-8F61-33A9C1373137}"/>
    <dgm:cxn modelId="{C98B8589-33BD-403F-9A82-BFF7651118D5}" srcId="{905425AE-77A4-4C51-82E7-C792DE49AB39}" destId="{D4139163-38FE-401E-8739-CBCFEDF08861}" srcOrd="1" destOrd="0" parTransId="{C6251424-3046-44AF-8530-A1EE6D2BDB1A}" sibTransId="{9F4CBBF0-0E82-4050-B732-4C4E45C60C50}"/>
    <dgm:cxn modelId="{52367F8A-03A7-4853-B953-03E0E550CB37}" srcId="{F8F402A4-8685-486C-8B0C-FC50EB9030AE}" destId="{947C2C79-8DCA-4DD3-A9DE-4CF7843EC5F4}" srcOrd="1" destOrd="0" parTransId="{EB8B77A5-A381-4D06-A0B8-FA69A4C63FDC}" sibTransId="{15151FB8-7F6C-47EA-AE33-6D26F3D7D45B}"/>
    <dgm:cxn modelId="{4A8DCF8B-1151-4574-8FAD-873CA5EE1CBA}" srcId="{B1D24891-A7FA-4162-AB1F-BBC443943F8E}" destId="{1C07ECCD-B1BD-45EA-A45F-B33652B8B6E2}" srcOrd="1" destOrd="0" parTransId="{4903FF78-65BF-4B26-9B10-7092768AEE8C}" sibTransId="{F259D723-927C-4119-87C7-7A79BEB6335E}"/>
    <dgm:cxn modelId="{0F4BE78D-BFDA-4B24-AD0F-61BC16A3D690}" type="presOf" srcId="{BB6A21CC-ABBA-4FF2-942B-038D168060AC}" destId="{B690A11D-FF38-41D2-AA3A-8862BBFB705D}" srcOrd="0" destOrd="3" presId="urn:microsoft.com/office/officeart/2005/8/layout/chevron1"/>
    <dgm:cxn modelId="{290DE690-5A9E-415E-82C7-3FBCCFBEEB28}" type="presOf" srcId="{11BCE5FC-FF7E-4B1E-BE21-3AD0CE03D522}" destId="{1997A537-9699-4668-AD84-476837D7DFAB}" srcOrd="0" destOrd="0" presId="urn:microsoft.com/office/officeart/2005/8/layout/chevron1"/>
    <dgm:cxn modelId="{7E641098-EF0E-4FCB-9968-7BB22449488C}" srcId="{64922F31-D8E1-4A5E-A5A8-9D4F0A5BF68D}" destId="{F8F402A4-8685-486C-8B0C-FC50EB9030AE}" srcOrd="3" destOrd="0" parTransId="{E102A8E5-E690-460D-B197-2091A6A2B6B9}" sibTransId="{9586ADF8-D60F-47D1-9D29-B4CB35CEDC2B}"/>
    <dgm:cxn modelId="{0CB9319E-3CAC-4AEF-9073-A55EFFACB11D}" srcId="{F8F402A4-8685-486C-8B0C-FC50EB9030AE}" destId="{572A9B04-AA36-4156-9DCD-7F7E88E64D07}" srcOrd="0" destOrd="0" parTransId="{F95AD27C-A26D-4F55-87CF-FA496274A2EA}" sibTransId="{9A0297C3-7830-43A3-88DD-6543D7241A6A}"/>
    <dgm:cxn modelId="{31E0949E-0644-4D8F-8892-10464B5F1E08}" type="presOf" srcId="{B1D24891-A7FA-4162-AB1F-BBC443943F8E}" destId="{9322B9DD-C197-4595-8BFE-6D05D3C1B80D}" srcOrd="0" destOrd="0" presId="urn:microsoft.com/office/officeart/2005/8/layout/chevron1"/>
    <dgm:cxn modelId="{401D7BA0-0B33-49D2-8FFF-84EC7AD35BED}" type="presOf" srcId="{947C2C79-8DCA-4DD3-A9DE-4CF7843EC5F4}" destId="{06AB1FCF-1989-4168-B091-15795B03A14F}" srcOrd="0" destOrd="1" presId="urn:microsoft.com/office/officeart/2005/8/layout/chevron1"/>
    <dgm:cxn modelId="{842F87A9-0E2D-471E-8A81-97B70EA9B2B1}" type="presOf" srcId="{70855A49-426D-4533-94BC-D7C6D913ED1D}" destId="{BCB8F603-8238-47E0-B47D-F338EC93A79A}" srcOrd="0" destOrd="0" presId="urn:microsoft.com/office/officeart/2005/8/layout/chevron1"/>
    <dgm:cxn modelId="{325107B1-39B7-4B27-A04B-CB728FC13966}" type="presOf" srcId="{8BE3BE67-2CF2-47D6-AF8D-6048C3B47880}" destId="{40DE4CA3-1A15-4C03-ABC2-FECB739C026D}" srcOrd="0" destOrd="0" presId="urn:microsoft.com/office/officeart/2005/8/layout/chevron1"/>
    <dgm:cxn modelId="{960EECB7-806E-4F80-BFB0-2161265CA184}" type="presOf" srcId="{64922F31-D8E1-4A5E-A5A8-9D4F0A5BF68D}" destId="{1DB99EDB-9098-4135-B0A1-63BB971F2633}" srcOrd="0" destOrd="0" presId="urn:microsoft.com/office/officeart/2005/8/layout/chevron1"/>
    <dgm:cxn modelId="{BAEBB2B8-B57E-4ACE-A4C9-B22B6BF25486}" type="presOf" srcId="{572A9B04-AA36-4156-9DCD-7F7E88E64D07}" destId="{06AB1FCF-1989-4168-B091-15795B03A14F}" srcOrd="0" destOrd="0" presId="urn:microsoft.com/office/officeart/2005/8/layout/chevron1"/>
    <dgm:cxn modelId="{B62523BA-E58F-41F8-B425-9C4F2AB78168}" srcId="{905425AE-77A4-4C51-82E7-C792DE49AB39}" destId="{DC8CF790-7F3B-48B2-A72C-18F7BAC402BC}" srcOrd="0" destOrd="0" parTransId="{EEAE83ED-DA8B-4950-98C4-B9E329D87D6F}" sibTransId="{0F5427C8-5832-4C05-AF64-FDFC63BD67D1}"/>
    <dgm:cxn modelId="{49B2E8C3-3153-4649-A50C-58DF246DCF9D}" srcId="{11BCE5FC-FF7E-4B1E-BE21-3AD0CE03D522}" destId="{4266DFAC-2EED-47DE-8A4D-27D5578DA780}" srcOrd="3" destOrd="0" parTransId="{F9356348-0B4E-4B98-B966-6AAABEA9BDCE}" sibTransId="{6AD99040-73EB-4118-A56F-BD7143C93921}"/>
    <dgm:cxn modelId="{6B85AFC4-22DE-423C-B683-F6FE3E5BC4E5}" srcId="{99D25D04-E834-4C0D-95C5-3E9D08947656}" destId="{CB46E00F-2A45-4641-9949-29AC28164BCF}" srcOrd="1" destOrd="0" parTransId="{DE4C95D6-EFC0-4B71-BD7E-47DF5C80403D}" sibTransId="{839C124B-A7E5-4B04-90A7-A5710C54505B}"/>
    <dgm:cxn modelId="{A1E815CD-9E16-4A49-8D5A-E29386AE48DE}" srcId="{8BE3BE67-2CF2-47D6-AF8D-6048C3B47880}" destId="{CA3B6C0D-EAC0-49D6-804D-49511F6C7A58}" srcOrd="1" destOrd="0" parTransId="{9CE70DE3-BD80-4CE1-8319-A54674A28207}" sibTransId="{F842E0A4-3011-4EF9-BBAC-B4B730770C50}"/>
    <dgm:cxn modelId="{7B28B3CF-A814-4E90-B18B-AB18B69EA9C8}" srcId="{E84BEC8B-4FD6-4562-B425-1F91BEB4866C}" destId="{A9A26F09-21EC-4A10-A245-BCC6D7024087}" srcOrd="1" destOrd="0" parTransId="{3C2BC1B6-10A5-405F-BB9D-40F6398A550A}" sibTransId="{177017CC-339F-4FEC-AC85-5E3AA7A89A31}"/>
    <dgm:cxn modelId="{AD0FBBDE-EED0-4D5E-881F-EBCA423EF59E}" srcId="{64922F31-D8E1-4A5E-A5A8-9D4F0A5BF68D}" destId="{E84BEC8B-4FD6-4562-B425-1F91BEB4866C}" srcOrd="6" destOrd="0" parTransId="{ACEF8FAF-B887-4457-A5CC-041D3BF0870D}" sibTransId="{B3FBE8DA-770C-4B05-A380-2EC79CA1AC7F}"/>
    <dgm:cxn modelId="{DEB56AE5-6206-4FE2-AAEC-269AF7CC9C00}" srcId="{64922F31-D8E1-4A5E-A5A8-9D4F0A5BF68D}" destId="{B1D24891-A7FA-4162-AB1F-BBC443943F8E}" srcOrd="4" destOrd="0" parTransId="{61B91BC2-CE2C-4BF9-9750-F83FD4FD160F}" sibTransId="{96C47EB4-AA67-4AAB-97F4-3C4A233BD2DC}"/>
    <dgm:cxn modelId="{821425E9-44EE-4023-9CBD-04C3FDAF3A9B}" srcId="{E84BEC8B-4FD6-4562-B425-1F91BEB4866C}" destId="{B8CDFFC1-76F2-4730-81A6-EEF686EC4B2C}" srcOrd="0" destOrd="0" parTransId="{574DB98F-9396-4273-B918-C200B73E497E}" sibTransId="{5ADE094A-17F0-40C3-B6A0-620F5A6AA809}"/>
    <dgm:cxn modelId="{556E26F4-F197-4346-A2FD-101934273932}" type="presOf" srcId="{BB6FB806-D5C0-47D0-845D-8D15C06ECC55}" destId="{FF0B9F97-0324-4A42-81A5-5C7D1CCAD536}" srcOrd="0" destOrd="1" presId="urn:microsoft.com/office/officeart/2005/8/layout/chevron1"/>
    <dgm:cxn modelId="{A96E65F7-570E-40C3-AC04-F26B426266AD}" srcId="{905425AE-77A4-4C51-82E7-C792DE49AB39}" destId="{98AA2296-B806-414E-AE05-922C5B87A35C}" srcOrd="2" destOrd="0" parTransId="{80F244AD-14AA-4EF0-A700-B5E3853C8EE5}" sibTransId="{D02A5B00-248F-4A36-8E09-2F055078ED84}"/>
    <dgm:cxn modelId="{F8E9C7FA-42AF-4F40-B725-0910227F594F}" srcId="{11BCE5FC-FF7E-4B1E-BE21-3AD0CE03D522}" destId="{BB6FB806-D5C0-47D0-845D-8D15C06ECC55}" srcOrd="1" destOrd="0" parTransId="{C9EEF814-1355-4778-8D4A-0DA616CA6B49}" sibTransId="{8C4CF313-D68F-4742-8AC0-70584A94CB9D}"/>
    <dgm:cxn modelId="{8668830B-AA5E-44E7-8ED2-1EF652CD39F7}" type="presParOf" srcId="{1DB99EDB-9098-4135-B0A1-63BB971F2633}" destId="{9118F947-82C7-4BAA-B050-5DA7D8D5D972}" srcOrd="0" destOrd="0" presId="urn:microsoft.com/office/officeart/2005/8/layout/chevron1"/>
    <dgm:cxn modelId="{209A1532-8E8C-4BC5-B94F-A8F95763F495}" type="presParOf" srcId="{9118F947-82C7-4BAA-B050-5DA7D8D5D972}" destId="{080D4C0B-3CAC-4C26-8EB5-96A1D7E08D26}" srcOrd="0" destOrd="0" presId="urn:microsoft.com/office/officeart/2005/8/layout/chevron1"/>
    <dgm:cxn modelId="{4BBB5C1C-4CD7-42F2-9488-D7ECD3861BDB}" type="presParOf" srcId="{9118F947-82C7-4BAA-B050-5DA7D8D5D972}" destId="{C675BF84-58A7-42C1-861D-0AC61BDD17E2}" srcOrd="1" destOrd="0" presId="urn:microsoft.com/office/officeart/2005/8/layout/chevron1"/>
    <dgm:cxn modelId="{4D1FD167-7ED6-4CD2-81C6-8F6CCB5D4172}" type="presParOf" srcId="{1DB99EDB-9098-4135-B0A1-63BB971F2633}" destId="{D48A5D75-1180-424D-9AB5-847552B2A752}" srcOrd="1" destOrd="0" presId="urn:microsoft.com/office/officeart/2005/8/layout/chevron1"/>
    <dgm:cxn modelId="{09753682-793E-4F9B-BC19-13C2A61E7B29}" type="presParOf" srcId="{1DB99EDB-9098-4135-B0A1-63BB971F2633}" destId="{A298E6A7-4918-417B-868D-527CD3924986}" srcOrd="2" destOrd="0" presId="urn:microsoft.com/office/officeart/2005/8/layout/chevron1"/>
    <dgm:cxn modelId="{49770418-2396-417C-A4B6-DB64F37D4EAD}" type="presParOf" srcId="{A298E6A7-4918-417B-868D-527CD3924986}" destId="{1997A537-9699-4668-AD84-476837D7DFAB}" srcOrd="0" destOrd="0" presId="urn:microsoft.com/office/officeart/2005/8/layout/chevron1"/>
    <dgm:cxn modelId="{897BDED1-ED18-47A8-9600-E3A9C7BEC8F8}" type="presParOf" srcId="{A298E6A7-4918-417B-868D-527CD3924986}" destId="{FF0B9F97-0324-4A42-81A5-5C7D1CCAD536}" srcOrd="1" destOrd="0" presId="urn:microsoft.com/office/officeart/2005/8/layout/chevron1"/>
    <dgm:cxn modelId="{F5637D0F-EC45-4C2E-8F38-A3972828FFD3}" type="presParOf" srcId="{1DB99EDB-9098-4135-B0A1-63BB971F2633}" destId="{94EF3D53-26CB-4EDD-9729-4782C67D3C26}" srcOrd="3" destOrd="0" presId="urn:microsoft.com/office/officeart/2005/8/layout/chevron1"/>
    <dgm:cxn modelId="{9B4C884E-EE8E-4A86-9320-2630DAA796E2}" type="presParOf" srcId="{1DB99EDB-9098-4135-B0A1-63BB971F2633}" destId="{7AEFE6ED-BEDD-4B19-8AEF-678AC0801908}" srcOrd="4" destOrd="0" presId="urn:microsoft.com/office/officeart/2005/8/layout/chevron1"/>
    <dgm:cxn modelId="{6A15B630-F410-4343-92EB-F12A13D3BB81}" type="presParOf" srcId="{7AEFE6ED-BEDD-4B19-8AEF-678AC0801908}" destId="{40DE4CA3-1A15-4C03-ABC2-FECB739C026D}" srcOrd="0" destOrd="0" presId="urn:microsoft.com/office/officeart/2005/8/layout/chevron1"/>
    <dgm:cxn modelId="{46A0477F-4366-4237-BEB6-EB4611EE5EEC}" type="presParOf" srcId="{7AEFE6ED-BEDD-4B19-8AEF-678AC0801908}" destId="{BCB8F603-8238-47E0-B47D-F338EC93A79A}" srcOrd="1" destOrd="0" presId="urn:microsoft.com/office/officeart/2005/8/layout/chevron1"/>
    <dgm:cxn modelId="{AC4BD2C5-1EE3-43C0-83EE-FB76BECA20E4}" type="presParOf" srcId="{1DB99EDB-9098-4135-B0A1-63BB971F2633}" destId="{DF9F11DD-15AE-422E-8283-3F066CB929F2}" srcOrd="5" destOrd="0" presId="urn:microsoft.com/office/officeart/2005/8/layout/chevron1"/>
    <dgm:cxn modelId="{9FAA59EF-AC6B-492B-9F08-AB417B6C89C3}" type="presParOf" srcId="{1DB99EDB-9098-4135-B0A1-63BB971F2633}" destId="{A244B839-2996-494B-8703-6416E64EC185}" srcOrd="6" destOrd="0" presId="urn:microsoft.com/office/officeart/2005/8/layout/chevron1"/>
    <dgm:cxn modelId="{6191C961-509C-47C5-A0CA-7D21264378EC}" type="presParOf" srcId="{A244B839-2996-494B-8703-6416E64EC185}" destId="{E469F524-80D2-4BE4-832E-CC3910E2DD4D}" srcOrd="0" destOrd="0" presId="urn:microsoft.com/office/officeart/2005/8/layout/chevron1"/>
    <dgm:cxn modelId="{A6A9E7AE-9CDE-4D20-B7FC-085813BE6FA2}" type="presParOf" srcId="{A244B839-2996-494B-8703-6416E64EC185}" destId="{06AB1FCF-1989-4168-B091-15795B03A14F}" srcOrd="1" destOrd="0" presId="urn:microsoft.com/office/officeart/2005/8/layout/chevron1"/>
    <dgm:cxn modelId="{AE470357-0940-45ED-96EF-7465C4559A80}" type="presParOf" srcId="{1DB99EDB-9098-4135-B0A1-63BB971F2633}" destId="{41AB72C1-E4AD-4717-AD28-FDA54A7D097E}" srcOrd="7" destOrd="0" presId="urn:microsoft.com/office/officeart/2005/8/layout/chevron1"/>
    <dgm:cxn modelId="{A17CD20E-F031-4CAB-99F5-B129949EA584}" type="presParOf" srcId="{1DB99EDB-9098-4135-B0A1-63BB971F2633}" destId="{B6EA6FD2-5AC3-4603-96D9-C30B45896536}" srcOrd="8" destOrd="0" presId="urn:microsoft.com/office/officeart/2005/8/layout/chevron1"/>
    <dgm:cxn modelId="{4528289F-7B08-4E81-ADEC-46C97156BEE7}" type="presParOf" srcId="{B6EA6FD2-5AC3-4603-96D9-C30B45896536}" destId="{9322B9DD-C197-4595-8BFE-6D05D3C1B80D}" srcOrd="0" destOrd="0" presId="urn:microsoft.com/office/officeart/2005/8/layout/chevron1"/>
    <dgm:cxn modelId="{E292BD8D-8752-4E87-B0A6-90016242EFFE}" type="presParOf" srcId="{B6EA6FD2-5AC3-4603-96D9-C30B45896536}" destId="{B690A11D-FF38-41D2-AA3A-8862BBFB705D}" srcOrd="1" destOrd="0" presId="urn:microsoft.com/office/officeart/2005/8/layout/chevron1"/>
    <dgm:cxn modelId="{52EFB21B-D282-45FE-8733-D576CADE655B}" type="presParOf" srcId="{1DB99EDB-9098-4135-B0A1-63BB971F2633}" destId="{31B8A9AF-1F0B-4FE0-B106-D7646B6C2811}" srcOrd="9" destOrd="0" presId="urn:microsoft.com/office/officeart/2005/8/layout/chevron1"/>
    <dgm:cxn modelId="{F1B2A441-204C-4D56-A21A-D02B34C2CCA0}" type="presParOf" srcId="{1DB99EDB-9098-4135-B0A1-63BB971F2633}" destId="{C4869600-07E4-4DA2-B84A-AB9B1BE5E6AA}" srcOrd="10" destOrd="0" presId="urn:microsoft.com/office/officeart/2005/8/layout/chevron1"/>
    <dgm:cxn modelId="{0E3369FC-F6E8-4F2F-BA40-0F458E3E2CD3}" type="presParOf" srcId="{C4869600-07E4-4DA2-B84A-AB9B1BE5E6AA}" destId="{6CBFCC03-A835-4F5A-8868-F02206A7982D}" srcOrd="0" destOrd="0" presId="urn:microsoft.com/office/officeart/2005/8/layout/chevron1"/>
    <dgm:cxn modelId="{59D94E61-29F3-4A95-B4E7-E0D6E2AC0E72}" type="presParOf" srcId="{C4869600-07E4-4DA2-B84A-AB9B1BE5E6AA}" destId="{46AF307F-BA5E-4428-A7AF-5A1E5EDEB51D}" srcOrd="1" destOrd="0" presId="urn:microsoft.com/office/officeart/2005/8/layout/chevron1"/>
    <dgm:cxn modelId="{710817DE-A9C9-42B2-BADB-8A58B18AF715}" type="presParOf" srcId="{1DB99EDB-9098-4135-B0A1-63BB971F2633}" destId="{A7478FDC-D520-4D84-8176-F574304AAE05}" srcOrd="11" destOrd="0" presId="urn:microsoft.com/office/officeart/2005/8/layout/chevron1"/>
    <dgm:cxn modelId="{4D090DAA-B7E2-4EBD-BD32-40BFA06179AE}" type="presParOf" srcId="{1DB99EDB-9098-4135-B0A1-63BB971F2633}" destId="{E85CD100-CA75-4D8F-A3FF-EA938A800C14}" srcOrd="12" destOrd="0" presId="urn:microsoft.com/office/officeart/2005/8/layout/chevron1"/>
    <dgm:cxn modelId="{5BE8A12A-2F28-4B74-88DA-8D133E6ABAD8}" type="presParOf" srcId="{E85CD100-CA75-4D8F-A3FF-EA938A800C14}" destId="{8CA2BDB1-B8FD-4CBC-92CD-A5053B214BA7}" srcOrd="0" destOrd="0" presId="urn:microsoft.com/office/officeart/2005/8/layout/chevron1"/>
    <dgm:cxn modelId="{E00F41BA-DCEE-4C1E-AEEE-E2D462F06DE4}" type="presParOf" srcId="{E85CD100-CA75-4D8F-A3FF-EA938A800C14}" destId="{0B7350D3-6CEF-40C8-99D0-8E1B4C87AE10}" srcOrd="1" destOrd="0" presId="urn:microsoft.com/office/officeart/2005/8/layout/chevro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0D4C0B-3CAC-4C26-8EB5-96A1D7E08D26}">
      <dsp:nvSpPr>
        <dsp:cNvPr id="0" name=""/>
        <dsp:cNvSpPr/>
      </dsp:nvSpPr>
      <dsp:spPr>
        <a:xfrm>
          <a:off x="6820" y="158269"/>
          <a:ext cx="1542547" cy="472472"/>
        </a:xfrm>
        <a:prstGeom prst="chevron">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rPr>
            <a:t>End of each semester (January, June, September [summer semester])</a:t>
          </a:r>
        </a:p>
      </dsp:txBody>
      <dsp:txXfrm>
        <a:off x="243056" y="158269"/>
        <a:ext cx="1070075" cy="472472"/>
      </dsp:txXfrm>
    </dsp:sp>
    <dsp:sp modelId="{C675BF84-58A7-42C1-861D-0AC61BDD17E2}">
      <dsp:nvSpPr>
        <dsp:cNvPr id="0" name=""/>
        <dsp:cNvSpPr/>
      </dsp:nvSpPr>
      <dsp:spPr>
        <a:xfrm>
          <a:off x="6820" y="689801"/>
          <a:ext cx="1234038" cy="1733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en-GB" sz="800" kern="1200"/>
            <a:t>Module coordinator completes module review report</a:t>
          </a:r>
        </a:p>
        <a:p>
          <a:pPr marL="57150" lvl="1" indent="-57150" algn="l" defTabSz="355600">
            <a:lnSpc>
              <a:spcPct val="90000"/>
            </a:lnSpc>
            <a:spcBef>
              <a:spcPct val="0"/>
            </a:spcBef>
            <a:spcAft>
              <a:spcPct val="15000"/>
            </a:spcAft>
            <a:buChar char="•"/>
          </a:pPr>
          <a:r>
            <a:rPr lang="en-GB" sz="800" kern="1200"/>
            <a:t>Discussed at relevant programme review meeting</a:t>
          </a:r>
        </a:p>
        <a:p>
          <a:pPr marL="57150" lvl="1" indent="-57150" algn="l" defTabSz="355600">
            <a:lnSpc>
              <a:spcPct val="90000"/>
            </a:lnSpc>
            <a:spcBef>
              <a:spcPct val="0"/>
            </a:spcBef>
            <a:spcAft>
              <a:spcPct val="15000"/>
            </a:spcAft>
            <a:buChar char="•"/>
          </a:pPr>
          <a:r>
            <a:rPr lang="en-GB" sz="800" kern="1200"/>
            <a:t>When finalised, uplaod a copy to the Quality Monitoring Repository SharePoint site</a:t>
          </a:r>
        </a:p>
      </dsp:txBody>
      <dsp:txXfrm>
        <a:off x="6820" y="689801"/>
        <a:ext cx="1234038" cy="1733203"/>
      </dsp:txXfrm>
    </dsp:sp>
    <dsp:sp modelId="{1997A537-9699-4668-AD84-476837D7DFAB}">
      <dsp:nvSpPr>
        <dsp:cNvPr id="0" name=""/>
        <dsp:cNvSpPr/>
      </dsp:nvSpPr>
      <dsp:spPr>
        <a:xfrm>
          <a:off x="1333368" y="158269"/>
          <a:ext cx="1542547" cy="472472"/>
        </a:xfrm>
        <a:prstGeom prst="chevron">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By end of October</a:t>
          </a:r>
        </a:p>
      </dsp:txBody>
      <dsp:txXfrm>
        <a:off x="1569604" y="158269"/>
        <a:ext cx="1070075" cy="472472"/>
      </dsp:txXfrm>
    </dsp:sp>
    <dsp:sp modelId="{FF0B9F97-0324-4A42-81A5-5C7D1CCAD536}">
      <dsp:nvSpPr>
        <dsp:cNvPr id="0" name=""/>
        <dsp:cNvSpPr/>
      </dsp:nvSpPr>
      <dsp:spPr>
        <a:xfrm>
          <a:off x="1333368" y="689801"/>
          <a:ext cx="1234038" cy="1733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en-GB" sz="800" kern="1200"/>
            <a:t>Programme director completes annual programme monitoring report for undergraduate programmes</a:t>
          </a:r>
        </a:p>
        <a:p>
          <a:pPr marL="57150" lvl="1" indent="-57150" algn="l" defTabSz="355600">
            <a:lnSpc>
              <a:spcPct val="90000"/>
            </a:lnSpc>
            <a:spcBef>
              <a:spcPct val="0"/>
            </a:spcBef>
            <a:spcAft>
              <a:spcPct val="15000"/>
            </a:spcAft>
            <a:buChar char="•"/>
          </a:pPr>
          <a:r>
            <a:rPr lang="en-GB" sz="800" kern="1200"/>
            <a:t>Discussed at Divisional Committee / equivalent</a:t>
          </a:r>
        </a:p>
        <a:p>
          <a:pPr marL="57150" lvl="1" indent="-57150" algn="l" defTabSz="355600">
            <a:lnSpc>
              <a:spcPct val="90000"/>
            </a:lnSpc>
            <a:spcBef>
              <a:spcPct val="0"/>
            </a:spcBef>
            <a:spcAft>
              <a:spcPct val="15000"/>
            </a:spcAft>
            <a:buChar char="•"/>
          </a:pPr>
          <a:r>
            <a:rPr lang="en-GB" sz="800" kern="1200"/>
            <a:t>Forwarded to Faculty Learning and Teaching Committee for ADLT to review</a:t>
          </a:r>
        </a:p>
        <a:p>
          <a:pPr marL="57150" lvl="1" indent="-57150" algn="l" defTabSz="355600">
            <a:lnSpc>
              <a:spcPct val="90000"/>
            </a:lnSpc>
            <a:spcBef>
              <a:spcPct val="0"/>
            </a:spcBef>
            <a:spcAft>
              <a:spcPct val="15000"/>
            </a:spcAft>
            <a:buChar char="•"/>
          </a:pPr>
          <a:r>
            <a:rPr lang="en-GB" sz="800" kern="1200"/>
            <a:t>When finalised, upload to the Quality Monitoring Repository SharePoint site</a:t>
          </a:r>
        </a:p>
      </dsp:txBody>
      <dsp:txXfrm>
        <a:off x="1333368" y="689801"/>
        <a:ext cx="1234038" cy="1733203"/>
      </dsp:txXfrm>
    </dsp:sp>
    <dsp:sp modelId="{40DE4CA3-1A15-4C03-ABC2-FECB739C026D}">
      <dsp:nvSpPr>
        <dsp:cNvPr id="0" name=""/>
        <dsp:cNvSpPr/>
      </dsp:nvSpPr>
      <dsp:spPr>
        <a:xfrm>
          <a:off x="2659915" y="158269"/>
          <a:ext cx="1542547" cy="472472"/>
        </a:xfrm>
        <a:prstGeom prst="chevron">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By end of November</a:t>
          </a:r>
        </a:p>
      </dsp:txBody>
      <dsp:txXfrm>
        <a:off x="2896151" y="158269"/>
        <a:ext cx="1070075" cy="472472"/>
      </dsp:txXfrm>
    </dsp:sp>
    <dsp:sp modelId="{BCB8F603-8238-47E0-B47D-F338EC93A79A}">
      <dsp:nvSpPr>
        <dsp:cNvPr id="0" name=""/>
        <dsp:cNvSpPr/>
      </dsp:nvSpPr>
      <dsp:spPr>
        <a:xfrm>
          <a:off x="2659915" y="689801"/>
          <a:ext cx="1234038" cy="1733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en-GB" sz="800" kern="1200"/>
            <a:t>ADLT completes Faculty Summary Report for undergraduate programmes</a:t>
          </a:r>
        </a:p>
        <a:p>
          <a:pPr marL="57150" lvl="1" indent="-57150" algn="l" defTabSz="355600">
            <a:lnSpc>
              <a:spcPct val="90000"/>
            </a:lnSpc>
            <a:spcBef>
              <a:spcPct val="0"/>
            </a:spcBef>
            <a:spcAft>
              <a:spcPct val="15000"/>
            </a:spcAft>
            <a:buChar char="•"/>
          </a:pPr>
          <a:r>
            <a:rPr lang="en-GB" sz="800" kern="1200"/>
            <a:t>ADLT forwards to AQG via quality@stir.ac.uk</a:t>
          </a:r>
        </a:p>
        <a:p>
          <a:pPr marL="57150" lvl="1" indent="-57150" algn="l" defTabSz="355600">
            <a:lnSpc>
              <a:spcPct val="90000"/>
            </a:lnSpc>
            <a:spcBef>
              <a:spcPct val="0"/>
            </a:spcBef>
            <a:spcAft>
              <a:spcPct val="15000"/>
            </a:spcAft>
            <a:buChar char="•"/>
          </a:pPr>
          <a:r>
            <a:rPr lang="en-GB" sz="800" kern="1200"/>
            <a:t>AQG carries out institutional quality review and prepares an institutional summary report</a:t>
          </a:r>
        </a:p>
      </dsp:txBody>
      <dsp:txXfrm>
        <a:off x="2659915" y="689801"/>
        <a:ext cx="1234038" cy="1733203"/>
      </dsp:txXfrm>
    </dsp:sp>
    <dsp:sp modelId="{E469F524-80D2-4BE4-832E-CC3910E2DD4D}">
      <dsp:nvSpPr>
        <dsp:cNvPr id="0" name=""/>
        <dsp:cNvSpPr/>
      </dsp:nvSpPr>
      <dsp:spPr>
        <a:xfrm>
          <a:off x="3986463" y="158269"/>
          <a:ext cx="1542547" cy="472472"/>
        </a:xfrm>
        <a:prstGeom prst="chevron">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January</a:t>
          </a:r>
        </a:p>
      </dsp:txBody>
      <dsp:txXfrm>
        <a:off x="4222699" y="158269"/>
        <a:ext cx="1070075" cy="472472"/>
      </dsp:txXfrm>
    </dsp:sp>
    <dsp:sp modelId="{06AB1FCF-1989-4168-B091-15795B03A14F}">
      <dsp:nvSpPr>
        <dsp:cNvPr id="0" name=""/>
        <dsp:cNvSpPr/>
      </dsp:nvSpPr>
      <dsp:spPr>
        <a:xfrm>
          <a:off x="3986463" y="689801"/>
          <a:ext cx="1234038" cy="1733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en-GB" sz="800" kern="1200"/>
            <a:t>ULTQC meeting takes place</a:t>
          </a:r>
        </a:p>
        <a:p>
          <a:pPr marL="57150" lvl="1" indent="-57150" algn="l" defTabSz="355600">
            <a:lnSpc>
              <a:spcPct val="90000"/>
            </a:lnSpc>
            <a:spcBef>
              <a:spcPct val="0"/>
            </a:spcBef>
            <a:spcAft>
              <a:spcPct val="15000"/>
            </a:spcAft>
            <a:buChar char="•"/>
          </a:pPr>
          <a:r>
            <a:rPr lang="en-GB" sz="800" kern="1200"/>
            <a:t>Undergraduate institutional summary reports discussed by ULTQC and any points of follow up or development will be communicated by AQG to Faculties</a:t>
          </a:r>
        </a:p>
      </dsp:txBody>
      <dsp:txXfrm>
        <a:off x="3986463" y="689801"/>
        <a:ext cx="1234038" cy="1733203"/>
      </dsp:txXfrm>
    </dsp:sp>
    <dsp:sp modelId="{9322B9DD-C197-4595-8BFE-6D05D3C1B80D}">
      <dsp:nvSpPr>
        <dsp:cNvPr id="0" name=""/>
        <dsp:cNvSpPr/>
      </dsp:nvSpPr>
      <dsp:spPr>
        <a:xfrm>
          <a:off x="5313011" y="158269"/>
          <a:ext cx="1542547" cy="472472"/>
        </a:xfrm>
        <a:prstGeom prst="chevron">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By end of February</a:t>
          </a:r>
        </a:p>
      </dsp:txBody>
      <dsp:txXfrm>
        <a:off x="5549247" y="158269"/>
        <a:ext cx="1070075" cy="472472"/>
      </dsp:txXfrm>
    </dsp:sp>
    <dsp:sp modelId="{B690A11D-FF38-41D2-AA3A-8862BBFB705D}">
      <dsp:nvSpPr>
        <dsp:cNvPr id="0" name=""/>
        <dsp:cNvSpPr/>
      </dsp:nvSpPr>
      <dsp:spPr>
        <a:xfrm>
          <a:off x="5313011" y="689801"/>
          <a:ext cx="1234038" cy="1733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en-GB" sz="800" kern="1200"/>
            <a:t>Programme director completes annual programme monitoring report for postgraduate programmes</a:t>
          </a:r>
        </a:p>
        <a:p>
          <a:pPr marL="57150" lvl="1" indent="-57150" algn="l" defTabSz="355600">
            <a:lnSpc>
              <a:spcPct val="90000"/>
            </a:lnSpc>
            <a:spcBef>
              <a:spcPct val="0"/>
            </a:spcBef>
            <a:spcAft>
              <a:spcPct val="15000"/>
            </a:spcAft>
            <a:buChar char="•"/>
          </a:pPr>
          <a:r>
            <a:rPr lang="en-GB" sz="800" kern="1200"/>
            <a:t>Discussed at Divisional Committee / equivalent</a:t>
          </a:r>
        </a:p>
        <a:p>
          <a:pPr marL="57150" lvl="1" indent="-57150" algn="l" defTabSz="355600">
            <a:lnSpc>
              <a:spcPct val="90000"/>
            </a:lnSpc>
            <a:spcBef>
              <a:spcPct val="0"/>
            </a:spcBef>
            <a:spcAft>
              <a:spcPct val="15000"/>
            </a:spcAft>
            <a:buChar char="•"/>
          </a:pPr>
          <a:r>
            <a:rPr lang="en-GB" sz="800" kern="1200"/>
            <a:t>Forwarded to Faculty Learning and Teaching Committee for ADLT to review</a:t>
          </a:r>
        </a:p>
        <a:p>
          <a:pPr marL="57150" lvl="1" indent="-57150" algn="l" defTabSz="355600">
            <a:lnSpc>
              <a:spcPct val="90000"/>
            </a:lnSpc>
            <a:spcBef>
              <a:spcPct val="0"/>
            </a:spcBef>
            <a:spcAft>
              <a:spcPct val="15000"/>
            </a:spcAft>
            <a:buChar char="•"/>
          </a:pPr>
          <a:r>
            <a:rPr lang="en-GB" sz="800" kern="1200"/>
            <a:t>When finalised, upload a copy to the Quality Monitoring Repository SharePoint site</a:t>
          </a:r>
        </a:p>
      </dsp:txBody>
      <dsp:txXfrm>
        <a:off x="5313011" y="689801"/>
        <a:ext cx="1234038" cy="1733203"/>
      </dsp:txXfrm>
    </dsp:sp>
    <dsp:sp modelId="{6CBFCC03-A835-4F5A-8868-F02206A7982D}">
      <dsp:nvSpPr>
        <dsp:cNvPr id="0" name=""/>
        <dsp:cNvSpPr/>
      </dsp:nvSpPr>
      <dsp:spPr>
        <a:xfrm>
          <a:off x="6639559" y="158269"/>
          <a:ext cx="1542547" cy="472472"/>
        </a:xfrm>
        <a:prstGeom prst="chevron">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By end of March</a:t>
          </a:r>
        </a:p>
      </dsp:txBody>
      <dsp:txXfrm>
        <a:off x="6875795" y="158269"/>
        <a:ext cx="1070075" cy="472472"/>
      </dsp:txXfrm>
    </dsp:sp>
    <dsp:sp modelId="{46AF307F-BA5E-4428-A7AF-5A1E5EDEB51D}">
      <dsp:nvSpPr>
        <dsp:cNvPr id="0" name=""/>
        <dsp:cNvSpPr/>
      </dsp:nvSpPr>
      <dsp:spPr>
        <a:xfrm>
          <a:off x="6639559" y="689801"/>
          <a:ext cx="1234038" cy="1733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en-GB" sz="800" kern="1200"/>
            <a:t>ADLT completes Faculty Summary Report for postgraduate programmes</a:t>
          </a:r>
        </a:p>
        <a:p>
          <a:pPr marL="57150" lvl="1" indent="-57150" algn="l" defTabSz="355600">
            <a:lnSpc>
              <a:spcPct val="90000"/>
            </a:lnSpc>
            <a:spcBef>
              <a:spcPct val="0"/>
            </a:spcBef>
            <a:spcAft>
              <a:spcPct val="15000"/>
            </a:spcAft>
            <a:buChar char="•"/>
          </a:pPr>
          <a:r>
            <a:rPr lang="en-GB" sz="800" kern="1200"/>
            <a:t>ADLT forwards to AQG via quality@stir.ac.uk</a:t>
          </a:r>
        </a:p>
        <a:p>
          <a:pPr marL="57150" lvl="1" indent="-57150" algn="l" defTabSz="355600">
            <a:lnSpc>
              <a:spcPct val="90000"/>
            </a:lnSpc>
            <a:spcBef>
              <a:spcPct val="0"/>
            </a:spcBef>
            <a:spcAft>
              <a:spcPct val="15000"/>
            </a:spcAft>
            <a:buChar char="•"/>
          </a:pPr>
          <a:r>
            <a:rPr lang="en-GB" sz="800" kern="1200"/>
            <a:t>AQG carries out institutional quality review and prepares an institutional summary report</a:t>
          </a:r>
        </a:p>
      </dsp:txBody>
      <dsp:txXfrm>
        <a:off x="6639559" y="689801"/>
        <a:ext cx="1234038" cy="1733203"/>
      </dsp:txXfrm>
    </dsp:sp>
    <dsp:sp modelId="{8CA2BDB1-B8FD-4CBC-92CD-A5053B214BA7}">
      <dsp:nvSpPr>
        <dsp:cNvPr id="0" name=""/>
        <dsp:cNvSpPr/>
      </dsp:nvSpPr>
      <dsp:spPr>
        <a:xfrm>
          <a:off x="7966106" y="158269"/>
          <a:ext cx="1542547" cy="472472"/>
        </a:xfrm>
        <a:prstGeom prst="chevron">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April</a:t>
          </a:r>
        </a:p>
      </dsp:txBody>
      <dsp:txXfrm>
        <a:off x="8202342" y="158269"/>
        <a:ext cx="1070075" cy="472472"/>
      </dsp:txXfrm>
    </dsp:sp>
    <dsp:sp modelId="{0B7350D3-6CEF-40C8-99D0-8E1B4C87AE10}">
      <dsp:nvSpPr>
        <dsp:cNvPr id="0" name=""/>
        <dsp:cNvSpPr/>
      </dsp:nvSpPr>
      <dsp:spPr>
        <a:xfrm>
          <a:off x="7966106" y="689801"/>
          <a:ext cx="1234038" cy="1733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355600">
            <a:lnSpc>
              <a:spcPct val="90000"/>
            </a:lnSpc>
            <a:spcBef>
              <a:spcPct val="0"/>
            </a:spcBef>
            <a:spcAft>
              <a:spcPct val="15000"/>
            </a:spcAft>
            <a:buChar char="•"/>
          </a:pPr>
          <a:r>
            <a:rPr lang="en-GB" sz="800" kern="1200"/>
            <a:t>ULTQC meeting takes place</a:t>
          </a:r>
        </a:p>
        <a:p>
          <a:pPr marL="57150" lvl="1" indent="-57150" algn="l" defTabSz="355600">
            <a:lnSpc>
              <a:spcPct val="90000"/>
            </a:lnSpc>
            <a:spcBef>
              <a:spcPct val="0"/>
            </a:spcBef>
            <a:spcAft>
              <a:spcPct val="15000"/>
            </a:spcAft>
            <a:buChar char="•"/>
          </a:pPr>
          <a:r>
            <a:rPr lang="en-GB" sz="800" kern="1200"/>
            <a:t>Postgraduate programme summary reports discussed by ULTQC and any points of follow up or development will be communicated by AQG to Faculties</a:t>
          </a:r>
        </a:p>
      </dsp:txBody>
      <dsp:txXfrm>
        <a:off x="7966106" y="689801"/>
        <a:ext cx="1234038" cy="173320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ded3f5e2a4639e0e579333e4b48ac86f">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6faec0f371a5c274ff268fe2225ae739"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SharedWithUsers xmlns="61453b0b-e893-41b5-af7c-8a766d62107e">
      <UserInfo>
        <DisplayName>Angela Higgins</DisplayName>
        <AccountId>53</AccountId>
        <AccountType/>
      </UserInfo>
      <UserInfo>
        <DisplayName>Iona Beveridge</DisplayName>
        <AccountId>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BE6A9-B66F-441B-A5E4-2E7AECAE7FED}">
  <ds:schemaRefs>
    <ds:schemaRef ds:uri="http://schemas.openxmlformats.org/officeDocument/2006/bibliography"/>
  </ds:schemaRefs>
</ds:datastoreItem>
</file>

<file path=customXml/itemProps2.xml><?xml version="1.0" encoding="utf-8"?>
<ds:datastoreItem xmlns:ds="http://schemas.openxmlformats.org/officeDocument/2006/customXml" ds:itemID="{E1E978B6-9350-4B94-BE11-719E4F7E5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1D1CB-B48A-45B2-8199-4B0C1E135916}">
  <ds:schemaRefs>
    <ds:schemaRef ds:uri="8dcad7d7-d287-47c9-a126-0f5ce902e32e"/>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61453b0b-e893-41b5-af7c-8a766d62107e"/>
  </ds:schemaRefs>
</ds:datastoreItem>
</file>

<file path=customXml/itemProps4.xml><?xml version="1.0" encoding="utf-8"?>
<ds:datastoreItem xmlns:ds="http://schemas.openxmlformats.org/officeDocument/2006/customXml" ds:itemID="{7367DADC-D9AC-45E7-B306-0EA3F6BA2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Beveridge</dc:creator>
  <cp:keywords/>
  <dc:description/>
  <cp:lastModifiedBy>Iona Beveridge</cp:lastModifiedBy>
  <cp:revision>2</cp:revision>
  <dcterms:created xsi:type="dcterms:W3CDTF">2022-10-13T06:53:00Z</dcterms:created>
  <dcterms:modified xsi:type="dcterms:W3CDTF">2022-10-13T06:53:00Z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y fmtid="{D5CDD505-2E9C-101B-9397-08002B2CF9AE}" pid="4" name="GrammarlyDocumentId">
    <vt:lpwstr>c18de4b9f77b57b98109f192870529eb4a11a439a1170cb5d367f9eae949ab34</vt:lpwstr>
  </property>
</Properties>
</file>