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E348" w14:textId="4C126E51" w:rsidR="00940DD9" w:rsidRDefault="00940DD9" w:rsidP="00C40415">
      <w:pPr>
        <w:spacing w:after="0" w:line="276" w:lineRule="auto"/>
        <w:rPr>
          <w:b/>
          <w:sz w:val="28"/>
          <w:szCs w:val="28"/>
        </w:rPr>
      </w:pPr>
      <w:r w:rsidRPr="00940DD9">
        <w:rPr>
          <w:rFonts w:ascii="Calibri" w:eastAsia="Times New Roman" w:hAnsi="Calibri" w:cs="Calibri"/>
          <w:noProof/>
          <w:sz w:val="24"/>
          <w:szCs w:val="24"/>
          <w:lang w:eastAsia="en-GB"/>
        </w:rPr>
        <w:drawing>
          <wp:anchor distT="0" distB="0" distL="114300" distR="114300" simplePos="0" relativeHeight="251658240" behindDoc="1" locked="0" layoutInCell="1" allowOverlap="1" wp14:anchorId="61248715" wp14:editId="481559B0">
            <wp:simplePos x="0" y="0"/>
            <wp:positionH relativeFrom="column">
              <wp:posOffset>4082415</wp:posOffset>
            </wp:positionH>
            <wp:positionV relativeFrom="page">
              <wp:posOffset>127000</wp:posOffset>
            </wp:positionV>
            <wp:extent cx="2300605" cy="1347470"/>
            <wp:effectExtent l="0" t="0" r="4445" b="5080"/>
            <wp:wrapThrough wrapText="bothSides">
              <wp:wrapPolygon edited="0">
                <wp:start x="0" y="0"/>
                <wp:lineTo x="0" y="21376"/>
                <wp:lineTo x="21463" y="21376"/>
                <wp:lineTo x="214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0605"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63993" w14:textId="77777777" w:rsidR="0092679E" w:rsidRDefault="0092679E" w:rsidP="00C40415">
      <w:pPr>
        <w:pStyle w:val="NoSpacing"/>
        <w:spacing w:line="276" w:lineRule="auto"/>
        <w:ind w:left="2160"/>
        <w:jc w:val="center"/>
      </w:pPr>
    </w:p>
    <w:p w14:paraId="28F446BA" w14:textId="77777777" w:rsidR="00BE3EE2" w:rsidRDefault="00BE3EE2" w:rsidP="00C40415">
      <w:pPr>
        <w:pStyle w:val="Heading1"/>
        <w:spacing w:before="0" w:line="276" w:lineRule="auto"/>
        <w:jc w:val="center"/>
        <w:rPr>
          <w:rFonts w:asciiTheme="minorHAnsi" w:hAnsiTheme="minorHAnsi" w:cstheme="minorHAnsi"/>
          <w:b/>
          <w:bCs/>
        </w:rPr>
      </w:pPr>
    </w:p>
    <w:p w14:paraId="5A8F4B8F" w14:textId="77777777" w:rsidR="00BE3EE2" w:rsidRDefault="00BE3EE2" w:rsidP="00C40415">
      <w:pPr>
        <w:pStyle w:val="Heading1"/>
        <w:spacing w:before="0" w:line="276" w:lineRule="auto"/>
        <w:jc w:val="center"/>
        <w:rPr>
          <w:rFonts w:asciiTheme="minorHAnsi" w:hAnsiTheme="minorHAnsi" w:cstheme="minorHAnsi"/>
          <w:b/>
          <w:bCs/>
        </w:rPr>
      </w:pPr>
    </w:p>
    <w:p w14:paraId="4C78ED54" w14:textId="77777777" w:rsidR="00BE3EE2" w:rsidRDefault="00BE3EE2" w:rsidP="00C40415">
      <w:pPr>
        <w:pStyle w:val="Heading1"/>
        <w:spacing w:before="0" w:line="276" w:lineRule="auto"/>
        <w:jc w:val="center"/>
        <w:rPr>
          <w:rFonts w:asciiTheme="minorHAnsi" w:hAnsiTheme="minorHAnsi" w:cstheme="minorHAnsi"/>
          <w:b/>
          <w:bCs/>
        </w:rPr>
      </w:pPr>
    </w:p>
    <w:p w14:paraId="7FC3FDC1" w14:textId="77777777" w:rsidR="00BE3EE2" w:rsidRDefault="00BE3EE2" w:rsidP="00C40415">
      <w:pPr>
        <w:pStyle w:val="Heading1"/>
        <w:spacing w:before="0" w:line="276" w:lineRule="auto"/>
        <w:jc w:val="center"/>
        <w:rPr>
          <w:rFonts w:asciiTheme="minorHAnsi" w:hAnsiTheme="minorHAnsi" w:cstheme="minorHAnsi"/>
          <w:b/>
          <w:bCs/>
        </w:rPr>
      </w:pPr>
    </w:p>
    <w:p w14:paraId="4A982F2D" w14:textId="77777777" w:rsidR="00BE3EE2" w:rsidRDefault="00BE3EE2" w:rsidP="00C40415">
      <w:pPr>
        <w:pStyle w:val="Heading1"/>
        <w:spacing w:before="0" w:line="276" w:lineRule="auto"/>
        <w:jc w:val="center"/>
        <w:rPr>
          <w:rFonts w:asciiTheme="minorHAnsi" w:hAnsiTheme="minorHAnsi" w:cstheme="minorHAnsi"/>
          <w:b/>
          <w:bCs/>
        </w:rPr>
      </w:pPr>
    </w:p>
    <w:p w14:paraId="44A05231" w14:textId="64B31683" w:rsidR="00BE3EE2" w:rsidRPr="00027356" w:rsidRDefault="004D2EAC" w:rsidP="00C40415">
      <w:pPr>
        <w:spacing w:after="0" w:line="276" w:lineRule="auto"/>
        <w:jc w:val="center"/>
        <w:rPr>
          <w:b/>
          <w:sz w:val="56"/>
          <w:szCs w:val="56"/>
        </w:rPr>
      </w:pPr>
      <w:r w:rsidRPr="00027356">
        <w:rPr>
          <w:b/>
          <w:sz w:val="56"/>
          <w:szCs w:val="56"/>
        </w:rPr>
        <w:t>Complaint</w:t>
      </w:r>
      <w:r w:rsidR="001422DC" w:rsidRPr="00027356">
        <w:rPr>
          <w:b/>
          <w:sz w:val="56"/>
          <w:szCs w:val="56"/>
        </w:rPr>
        <w:t>s</w:t>
      </w:r>
      <w:r w:rsidRPr="00027356">
        <w:rPr>
          <w:b/>
          <w:sz w:val="56"/>
          <w:szCs w:val="56"/>
        </w:rPr>
        <w:t xml:space="preserve"> </w:t>
      </w:r>
      <w:r w:rsidR="0049621C" w:rsidRPr="00027356">
        <w:rPr>
          <w:b/>
          <w:sz w:val="56"/>
          <w:szCs w:val="56"/>
        </w:rPr>
        <w:t xml:space="preserve">Handling </w:t>
      </w:r>
      <w:r w:rsidR="00DE465F" w:rsidRPr="00027356">
        <w:rPr>
          <w:b/>
          <w:sz w:val="56"/>
          <w:szCs w:val="56"/>
        </w:rPr>
        <w:t xml:space="preserve">Performance Report </w:t>
      </w:r>
    </w:p>
    <w:p w14:paraId="1F112CCB" w14:textId="77777777" w:rsidR="00BE3EE2" w:rsidRPr="00027356" w:rsidRDefault="00BE3EE2" w:rsidP="00C40415">
      <w:pPr>
        <w:pStyle w:val="Heading1"/>
        <w:spacing w:before="0" w:line="276" w:lineRule="auto"/>
        <w:jc w:val="center"/>
        <w:rPr>
          <w:rFonts w:asciiTheme="minorHAnsi" w:hAnsiTheme="minorHAnsi" w:cstheme="minorHAnsi"/>
          <w:b/>
          <w:color w:val="auto"/>
          <w:sz w:val="56"/>
          <w:szCs w:val="56"/>
        </w:rPr>
      </w:pPr>
    </w:p>
    <w:p w14:paraId="395F2120" w14:textId="0CE74365" w:rsidR="009F2D9F" w:rsidRPr="00465C04" w:rsidRDefault="004D2EAC" w:rsidP="00C40415">
      <w:pPr>
        <w:spacing w:after="0" w:line="276" w:lineRule="auto"/>
        <w:jc w:val="center"/>
        <w:rPr>
          <w:b/>
          <w:sz w:val="56"/>
          <w:szCs w:val="56"/>
        </w:rPr>
      </w:pPr>
      <w:r w:rsidRPr="00027356">
        <w:rPr>
          <w:b/>
          <w:sz w:val="56"/>
          <w:szCs w:val="56"/>
        </w:rPr>
        <w:t>20</w:t>
      </w:r>
      <w:r w:rsidR="0004403A" w:rsidRPr="00027356">
        <w:rPr>
          <w:b/>
          <w:sz w:val="56"/>
          <w:szCs w:val="56"/>
        </w:rPr>
        <w:t>2</w:t>
      </w:r>
      <w:r w:rsidR="00B87D48" w:rsidRPr="00027356">
        <w:rPr>
          <w:b/>
          <w:sz w:val="56"/>
          <w:szCs w:val="56"/>
        </w:rPr>
        <w:t>2-23</w:t>
      </w:r>
    </w:p>
    <w:p w14:paraId="53CBCCCE" w14:textId="1E306F91" w:rsidR="00BE3EE2" w:rsidRDefault="00BE3EE2" w:rsidP="00C40415">
      <w:pPr>
        <w:spacing w:after="0" w:line="276" w:lineRule="auto"/>
      </w:pPr>
      <w:r>
        <w:br w:type="page"/>
      </w:r>
    </w:p>
    <w:p w14:paraId="670D100F" w14:textId="77777777" w:rsidR="00BE3EE2" w:rsidRDefault="00BE3EE2" w:rsidP="00C40415">
      <w:pPr>
        <w:spacing w:after="0" w:line="276" w:lineRule="auto"/>
      </w:pPr>
    </w:p>
    <w:sdt>
      <w:sdtPr>
        <w:rPr>
          <w:rFonts w:asciiTheme="minorHAnsi" w:eastAsiaTheme="minorHAnsi" w:hAnsiTheme="minorHAnsi" w:cstheme="minorBidi"/>
          <w:color w:val="auto"/>
          <w:sz w:val="22"/>
          <w:szCs w:val="22"/>
          <w:lang w:val="en-GB"/>
        </w:rPr>
        <w:id w:val="1443946856"/>
        <w:docPartObj>
          <w:docPartGallery w:val="Table of Contents"/>
          <w:docPartUnique/>
        </w:docPartObj>
      </w:sdtPr>
      <w:sdtEndPr/>
      <w:sdtContent>
        <w:p w14:paraId="22F2F581" w14:textId="5C751F22" w:rsidR="00371698" w:rsidRPr="00027356" w:rsidRDefault="00371698" w:rsidP="00C40415">
          <w:pPr>
            <w:pStyle w:val="TOCHeading"/>
            <w:spacing w:before="0" w:line="276" w:lineRule="auto"/>
            <w:rPr>
              <w:color w:val="auto"/>
            </w:rPr>
          </w:pPr>
          <w:r w:rsidRPr="00027356">
            <w:rPr>
              <w:color w:val="auto"/>
            </w:rPr>
            <w:t>Contents</w:t>
          </w:r>
        </w:p>
        <w:p w14:paraId="0601B271" w14:textId="5F27ADDA" w:rsidR="00A9699A" w:rsidRDefault="00FB4CA3">
          <w:pPr>
            <w:pStyle w:val="TOC2"/>
            <w:rPr>
              <w:rFonts w:eastAsiaTheme="minorEastAsia"/>
              <w:noProof/>
              <w:kern w:val="2"/>
              <w:sz w:val="24"/>
              <w:szCs w:val="24"/>
              <w:lang w:eastAsia="en-GB"/>
              <w14:ligatures w14:val="standardContextual"/>
            </w:rPr>
          </w:pPr>
          <w:r w:rsidRPr="0069447D">
            <w:fldChar w:fldCharType="begin"/>
          </w:r>
          <w:r w:rsidR="003471D7" w:rsidRPr="0069447D">
            <w:instrText>TOC \o "1-3" \h \z \u</w:instrText>
          </w:r>
          <w:r w:rsidRPr="0069447D">
            <w:fldChar w:fldCharType="separate"/>
          </w:r>
          <w:hyperlink w:anchor="_Toc163663722" w:history="1">
            <w:r w:rsidR="00A9699A" w:rsidRPr="00130792">
              <w:rPr>
                <w:rStyle w:val="Hyperlink"/>
                <w:noProof/>
              </w:rPr>
              <w:t>Introduction</w:t>
            </w:r>
            <w:r w:rsidR="00A9699A">
              <w:rPr>
                <w:noProof/>
                <w:webHidden/>
              </w:rPr>
              <w:tab/>
            </w:r>
            <w:r w:rsidR="00A9699A">
              <w:rPr>
                <w:noProof/>
                <w:webHidden/>
              </w:rPr>
              <w:fldChar w:fldCharType="begin"/>
            </w:r>
            <w:r w:rsidR="00A9699A">
              <w:rPr>
                <w:noProof/>
                <w:webHidden/>
              </w:rPr>
              <w:instrText xml:space="preserve"> PAGEREF _Toc163663722 \h </w:instrText>
            </w:r>
            <w:r w:rsidR="00A9699A">
              <w:rPr>
                <w:noProof/>
                <w:webHidden/>
              </w:rPr>
            </w:r>
            <w:r w:rsidR="00A9699A">
              <w:rPr>
                <w:noProof/>
                <w:webHidden/>
              </w:rPr>
              <w:fldChar w:fldCharType="separate"/>
            </w:r>
            <w:r w:rsidR="00A9699A">
              <w:rPr>
                <w:noProof/>
                <w:webHidden/>
              </w:rPr>
              <w:t>3</w:t>
            </w:r>
            <w:r w:rsidR="00A9699A">
              <w:rPr>
                <w:noProof/>
                <w:webHidden/>
              </w:rPr>
              <w:fldChar w:fldCharType="end"/>
            </w:r>
          </w:hyperlink>
        </w:p>
        <w:p w14:paraId="0A275286" w14:textId="74CBD15A" w:rsidR="00A9699A" w:rsidRDefault="00D433EA">
          <w:pPr>
            <w:pStyle w:val="TOC2"/>
            <w:rPr>
              <w:rFonts w:eastAsiaTheme="minorEastAsia"/>
              <w:noProof/>
              <w:kern w:val="2"/>
              <w:sz w:val="24"/>
              <w:szCs w:val="24"/>
              <w:lang w:eastAsia="en-GB"/>
              <w14:ligatures w14:val="standardContextual"/>
            </w:rPr>
          </w:pPr>
          <w:hyperlink w:anchor="_Toc163663723" w:history="1">
            <w:r w:rsidR="00A9699A" w:rsidRPr="00130792">
              <w:rPr>
                <w:rStyle w:val="Hyperlink"/>
                <w:noProof/>
              </w:rPr>
              <w:t>Overview of the Complaints Handling Procedure</w:t>
            </w:r>
            <w:r w:rsidR="00A9699A">
              <w:rPr>
                <w:noProof/>
                <w:webHidden/>
              </w:rPr>
              <w:tab/>
            </w:r>
            <w:r w:rsidR="00A9699A">
              <w:rPr>
                <w:noProof/>
                <w:webHidden/>
              </w:rPr>
              <w:fldChar w:fldCharType="begin"/>
            </w:r>
            <w:r w:rsidR="00A9699A">
              <w:rPr>
                <w:noProof/>
                <w:webHidden/>
              </w:rPr>
              <w:instrText xml:space="preserve"> PAGEREF _Toc163663723 \h </w:instrText>
            </w:r>
            <w:r w:rsidR="00A9699A">
              <w:rPr>
                <w:noProof/>
                <w:webHidden/>
              </w:rPr>
            </w:r>
            <w:r w:rsidR="00A9699A">
              <w:rPr>
                <w:noProof/>
                <w:webHidden/>
              </w:rPr>
              <w:fldChar w:fldCharType="separate"/>
            </w:r>
            <w:r w:rsidR="00A9699A">
              <w:rPr>
                <w:noProof/>
                <w:webHidden/>
              </w:rPr>
              <w:t>3</w:t>
            </w:r>
            <w:r w:rsidR="00A9699A">
              <w:rPr>
                <w:noProof/>
                <w:webHidden/>
              </w:rPr>
              <w:fldChar w:fldCharType="end"/>
            </w:r>
          </w:hyperlink>
        </w:p>
        <w:p w14:paraId="21959E5F" w14:textId="3F3F872F" w:rsidR="00A9699A" w:rsidRDefault="00D433EA">
          <w:pPr>
            <w:pStyle w:val="TOC2"/>
            <w:rPr>
              <w:rFonts w:eastAsiaTheme="minorEastAsia"/>
              <w:noProof/>
              <w:kern w:val="2"/>
              <w:sz w:val="24"/>
              <w:szCs w:val="24"/>
              <w:lang w:eastAsia="en-GB"/>
              <w14:ligatures w14:val="standardContextual"/>
            </w:rPr>
          </w:pPr>
          <w:hyperlink w:anchor="_Toc163663724" w:history="1">
            <w:r w:rsidR="00A9699A" w:rsidRPr="00130792">
              <w:rPr>
                <w:rStyle w:val="Hyperlink"/>
                <w:noProof/>
              </w:rPr>
              <w:t>Complaints Received</w:t>
            </w:r>
            <w:r w:rsidR="00A9699A">
              <w:rPr>
                <w:noProof/>
                <w:webHidden/>
              </w:rPr>
              <w:tab/>
            </w:r>
            <w:r w:rsidR="00A9699A">
              <w:rPr>
                <w:noProof/>
                <w:webHidden/>
              </w:rPr>
              <w:fldChar w:fldCharType="begin"/>
            </w:r>
            <w:r w:rsidR="00A9699A">
              <w:rPr>
                <w:noProof/>
                <w:webHidden/>
              </w:rPr>
              <w:instrText xml:space="preserve"> PAGEREF _Toc163663724 \h </w:instrText>
            </w:r>
            <w:r w:rsidR="00A9699A">
              <w:rPr>
                <w:noProof/>
                <w:webHidden/>
              </w:rPr>
            </w:r>
            <w:r w:rsidR="00A9699A">
              <w:rPr>
                <w:noProof/>
                <w:webHidden/>
              </w:rPr>
              <w:fldChar w:fldCharType="separate"/>
            </w:r>
            <w:r w:rsidR="00A9699A">
              <w:rPr>
                <w:noProof/>
                <w:webHidden/>
              </w:rPr>
              <w:t>3</w:t>
            </w:r>
            <w:r w:rsidR="00A9699A">
              <w:rPr>
                <w:noProof/>
                <w:webHidden/>
              </w:rPr>
              <w:fldChar w:fldCharType="end"/>
            </w:r>
          </w:hyperlink>
        </w:p>
        <w:p w14:paraId="03E96521" w14:textId="27DC0F4D" w:rsidR="00A9699A" w:rsidRDefault="00D433EA">
          <w:pPr>
            <w:pStyle w:val="TOC3"/>
            <w:tabs>
              <w:tab w:val="right" w:leader="dot" w:pos="9016"/>
            </w:tabs>
            <w:rPr>
              <w:rFonts w:eastAsiaTheme="minorEastAsia"/>
              <w:noProof/>
              <w:kern w:val="2"/>
              <w:sz w:val="24"/>
              <w:szCs w:val="24"/>
              <w:lang w:eastAsia="en-GB"/>
              <w14:ligatures w14:val="standardContextual"/>
            </w:rPr>
          </w:pPr>
          <w:hyperlink w:anchor="_Toc163663725" w:history="1">
            <w:r w:rsidR="00A9699A" w:rsidRPr="00130792">
              <w:rPr>
                <w:rStyle w:val="Hyperlink"/>
                <w:noProof/>
              </w:rPr>
              <w:t>Timing of Complaints Received</w:t>
            </w:r>
            <w:r w:rsidR="00A9699A">
              <w:rPr>
                <w:noProof/>
                <w:webHidden/>
              </w:rPr>
              <w:tab/>
            </w:r>
            <w:r w:rsidR="00A9699A">
              <w:rPr>
                <w:noProof/>
                <w:webHidden/>
              </w:rPr>
              <w:fldChar w:fldCharType="begin"/>
            </w:r>
            <w:r w:rsidR="00A9699A">
              <w:rPr>
                <w:noProof/>
                <w:webHidden/>
              </w:rPr>
              <w:instrText xml:space="preserve"> PAGEREF _Toc163663725 \h </w:instrText>
            </w:r>
            <w:r w:rsidR="00A9699A">
              <w:rPr>
                <w:noProof/>
                <w:webHidden/>
              </w:rPr>
            </w:r>
            <w:r w:rsidR="00A9699A">
              <w:rPr>
                <w:noProof/>
                <w:webHidden/>
              </w:rPr>
              <w:fldChar w:fldCharType="separate"/>
            </w:r>
            <w:r w:rsidR="00A9699A">
              <w:rPr>
                <w:noProof/>
                <w:webHidden/>
              </w:rPr>
              <w:t>4</w:t>
            </w:r>
            <w:r w:rsidR="00A9699A">
              <w:rPr>
                <w:noProof/>
                <w:webHidden/>
              </w:rPr>
              <w:fldChar w:fldCharType="end"/>
            </w:r>
          </w:hyperlink>
        </w:p>
        <w:p w14:paraId="2BD94276" w14:textId="69C135FC" w:rsidR="00A9699A" w:rsidRDefault="00D433EA">
          <w:pPr>
            <w:pStyle w:val="TOC2"/>
            <w:rPr>
              <w:rFonts w:eastAsiaTheme="minorEastAsia"/>
              <w:noProof/>
              <w:kern w:val="2"/>
              <w:sz w:val="24"/>
              <w:szCs w:val="24"/>
              <w:lang w:eastAsia="en-GB"/>
              <w14:ligatures w14:val="standardContextual"/>
            </w:rPr>
          </w:pPr>
          <w:hyperlink w:anchor="_Toc163663726" w:history="1">
            <w:r w:rsidR="00A9699A" w:rsidRPr="00130792">
              <w:rPr>
                <w:rStyle w:val="Hyperlink"/>
                <w:noProof/>
              </w:rPr>
              <w:t>Categories of Complaints</w:t>
            </w:r>
            <w:r w:rsidR="00A9699A">
              <w:rPr>
                <w:noProof/>
                <w:webHidden/>
              </w:rPr>
              <w:tab/>
            </w:r>
            <w:r w:rsidR="00A9699A">
              <w:rPr>
                <w:noProof/>
                <w:webHidden/>
              </w:rPr>
              <w:fldChar w:fldCharType="begin"/>
            </w:r>
            <w:r w:rsidR="00A9699A">
              <w:rPr>
                <w:noProof/>
                <w:webHidden/>
              </w:rPr>
              <w:instrText xml:space="preserve"> PAGEREF _Toc163663726 \h </w:instrText>
            </w:r>
            <w:r w:rsidR="00A9699A">
              <w:rPr>
                <w:noProof/>
                <w:webHidden/>
              </w:rPr>
            </w:r>
            <w:r w:rsidR="00A9699A">
              <w:rPr>
                <w:noProof/>
                <w:webHidden/>
              </w:rPr>
              <w:fldChar w:fldCharType="separate"/>
            </w:r>
            <w:r w:rsidR="00A9699A">
              <w:rPr>
                <w:noProof/>
                <w:webHidden/>
              </w:rPr>
              <w:t>5</w:t>
            </w:r>
            <w:r w:rsidR="00A9699A">
              <w:rPr>
                <w:noProof/>
                <w:webHidden/>
              </w:rPr>
              <w:fldChar w:fldCharType="end"/>
            </w:r>
          </w:hyperlink>
        </w:p>
        <w:p w14:paraId="48D7676F" w14:textId="0F9B3DD7" w:rsidR="00A9699A" w:rsidRDefault="00D433EA">
          <w:pPr>
            <w:pStyle w:val="TOC2"/>
            <w:rPr>
              <w:rFonts w:eastAsiaTheme="minorEastAsia"/>
              <w:noProof/>
              <w:kern w:val="2"/>
              <w:sz w:val="24"/>
              <w:szCs w:val="24"/>
              <w:lang w:eastAsia="en-GB"/>
              <w14:ligatures w14:val="standardContextual"/>
            </w:rPr>
          </w:pPr>
          <w:hyperlink w:anchor="_Toc163663727" w:history="1">
            <w:r w:rsidR="00A9699A" w:rsidRPr="00130792">
              <w:rPr>
                <w:rStyle w:val="Hyperlink"/>
                <w:noProof/>
              </w:rPr>
              <w:t>Complaint Category Trends</w:t>
            </w:r>
            <w:r w:rsidR="00A9699A">
              <w:rPr>
                <w:noProof/>
                <w:webHidden/>
              </w:rPr>
              <w:tab/>
            </w:r>
            <w:r w:rsidR="00A9699A">
              <w:rPr>
                <w:noProof/>
                <w:webHidden/>
              </w:rPr>
              <w:fldChar w:fldCharType="begin"/>
            </w:r>
            <w:r w:rsidR="00A9699A">
              <w:rPr>
                <w:noProof/>
                <w:webHidden/>
              </w:rPr>
              <w:instrText xml:space="preserve"> PAGEREF _Toc163663727 \h </w:instrText>
            </w:r>
            <w:r w:rsidR="00A9699A">
              <w:rPr>
                <w:noProof/>
                <w:webHidden/>
              </w:rPr>
            </w:r>
            <w:r w:rsidR="00A9699A">
              <w:rPr>
                <w:noProof/>
                <w:webHidden/>
              </w:rPr>
              <w:fldChar w:fldCharType="separate"/>
            </w:r>
            <w:r w:rsidR="00A9699A">
              <w:rPr>
                <w:noProof/>
                <w:webHidden/>
              </w:rPr>
              <w:t>5</w:t>
            </w:r>
            <w:r w:rsidR="00A9699A">
              <w:rPr>
                <w:noProof/>
                <w:webHidden/>
              </w:rPr>
              <w:fldChar w:fldCharType="end"/>
            </w:r>
          </w:hyperlink>
        </w:p>
        <w:p w14:paraId="0AA7DA81" w14:textId="464E5649" w:rsidR="00A9699A" w:rsidRDefault="00D433EA">
          <w:pPr>
            <w:pStyle w:val="TOC2"/>
            <w:rPr>
              <w:rFonts w:eastAsiaTheme="minorEastAsia"/>
              <w:noProof/>
              <w:kern w:val="2"/>
              <w:sz w:val="24"/>
              <w:szCs w:val="24"/>
              <w:lang w:eastAsia="en-GB"/>
              <w14:ligatures w14:val="standardContextual"/>
            </w:rPr>
          </w:pPr>
          <w:hyperlink w:anchor="_Toc163663728" w:history="1">
            <w:r w:rsidR="00A9699A" w:rsidRPr="00130792">
              <w:rPr>
                <w:rStyle w:val="Hyperlink"/>
                <w:noProof/>
              </w:rPr>
              <w:t>Complaint Responses</w:t>
            </w:r>
            <w:r w:rsidR="00A9699A">
              <w:rPr>
                <w:noProof/>
                <w:webHidden/>
              </w:rPr>
              <w:tab/>
            </w:r>
            <w:r w:rsidR="00A9699A">
              <w:rPr>
                <w:noProof/>
                <w:webHidden/>
              </w:rPr>
              <w:fldChar w:fldCharType="begin"/>
            </w:r>
            <w:r w:rsidR="00A9699A">
              <w:rPr>
                <w:noProof/>
                <w:webHidden/>
              </w:rPr>
              <w:instrText xml:space="preserve"> PAGEREF _Toc163663728 \h </w:instrText>
            </w:r>
            <w:r w:rsidR="00A9699A">
              <w:rPr>
                <w:noProof/>
                <w:webHidden/>
              </w:rPr>
            </w:r>
            <w:r w:rsidR="00A9699A">
              <w:rPr>
                <w:noProof/>
                <w:webHidden/>
              </w:rPr>
              <w:fldChar w:fldCharType="separate"/>
            </w:r>
            <w:r w:rsidR="00A9699A">
              <w:rPr>
                <w:noProof/>
                <w:webHidden/>
              </w:rPr>
              <w:t>7</w:t>
            </w:r>
            <w:r w:rsidR="00A9699A">
              <w:rPr>
                <w:noProof/>
                <w:webHidden/>
              </w:rPr>
              <w:fldChar w:fldCharType="end"/>
            </w:r>
          </w:hyperlink>
        </w:p>
        <w:p w14:paraId="64763DC9" w14:textId="22C1092A" w:rsidR="00A9699A" w:rsidRDefault="00D433EA">
          <w:pPr>
            <w:pStyle w:val="TOC2"/>
            <w:rPr>
              <w:rFonts w:eastAsiaTheme="minorEastAsia"/>
              <w:noProof/>
              <w:kern w:val="2"/>
              <w:sz w:val="24"/>
              <w:szCs w:val="24"/>
              <w:lang w:eastAsia="en-GB"/>
              <w14:ligatures w14:val="standardContextual"/>
            </w:rPr>
          </w:pPr>
          <w:hyperlink w:anchor="_Toc163663729" w:history="1">
            <w:r w:rsidR="00A9699A" w:rsidRPr="00130792">
              <w:rPr>
                <w:rStyle w:val="Hyperlink"/>
                <w:noProof/>
              </w:rPr>
              <w:t>Complaint Outcomes</w:t>
            </w:r>
            <w:r w:rsidR="00A9699A">
              <w:rPr>
                <w:noProof/>
                <w:webHidden/>
              </w:rPr>
              <w:tab/>
            </w:r>
            <w:r w:rsidR="00A9699A">
              <w:rPr>
                <w:noProof/>
                <w:webHidden/>
              </w:rPr>
              <w:fldChar w:fldCharType="begin"/>
            </w:r>
            <w:r w:rsidR="00A9699A">
              <w:rPr>
                <w:noProof/>
                <w:webHidden/>
              </w:rPr>
              <w:instrText xml:space="preserve"> PAGEREF _Toc163663729 \h </w:instrText>
            </w:r>
            <w:r w:rsidR="00A9699A">
              <w:rPr>
                <w:noProof/>
                <w:webHidden/>
              </w:rPr>
            </w:r>
            <w:r w:rsidR="00A9699A">
              <w:rPr>
                <w:noProof/>
                <w:webHidden/>
              </w:rPr>
              <w:fldChar w:fldCharType="separate"/>
            </w:r>
            <w:r w:rsidR="00A9699A">
              <w:rPr>
                <w:noProof/>
                <w:webHidden/>
              </w:rPr>
              <w:t>7</w:t>
            </w:r>
            <w:r w:rsidR="00A9699A">
              <w:rPr>
                <w:noProof/>
                <w:webHidden/>
              </w:rPr>
              <w:fldChar w:fldCharType="end"/>
            </w:r>
          </w:hyperlink>
        </w:p>
        <w:p w14:paraId="272D2755" w14:textId="4B2AC2C2" w:rsidR="00A9699A" w:rsidRDefault="00D433EA">
          <w:pPr>
            <w:pStyle w:val="TOC2"/>
            <w:rPr>
              <w:rFonts w:eastAsiaTheme="minorEastAsia"/>
              <w:noProof/>
              <w:kern w:val="2"/>
              <w:sz w:val="24"/>
              <w:szCs w:val="24"/>
              <w:lang w:eastAsia="en-GB"/>
              <w14:ligatures w14:val="standardContextual"/>
            </w:rPr>
          </w:pPr>
          <w:hyperlink w:anchor="_Toc163663730" w:history="1">
            <w:r w:rsidR="00A9699A" w:rsidRPr="00130792">
              <w:rPr>
                <w:rStyle w:val="Hyperlink"/>
                <w:noProof/>
              </w:rPr>
              <w:t>Action and Learning Following Complaints</w:t>
            </w:r>
            <w:r w:rsidR="00A9699A">
              <w:rPr>
                <w:noProof/>
                <w:webHidden/>
              </w:rPr>
              <w:tab/>
            </w:r>
            <w:r w:rsidR="00A9699A">
              <w:rPr>
                <w:noProof/>
                <w:webHidden/>
              </w:rPr>
              <w:fldChar w:fldCharType="begin"/>
            </w:r>
            <w:r w:rsidR="00A9699A">
              <w:rPr>
                <w:noProof/>
                <w:webHidden/>
              </w:rPr>
              <w:instrText xml:space="preserve"> PAGEREF _Toc163663730 \h </w:instrText>
            </w:r>
            <w:r w:rsidR="00A9699A">
              <w:rPr>
                <w:noProof/>
                <w:webHidden/>
              </w:rPr>
            </w:r>
            <w:r w:rsidR="00A9699A">
              <w:rPr>
                <w:noProof/>
                <w:webHidden/>
              </w:rPr>
              <w:fldChar w:fldCharType="separate"/>
            </w:r>
            <w:r w:rsidR="00A9699A">
              <w:rPr>
                <w:noProof/>
                <w:webHidden/>
              </w:rPr>
              <w:t>8</w:t>
            </w:r>
            <w:r w:rsidR="00A9699A">
              <w:rPr>
                <w:noProof/>
                <w:webHidden/>
              </w:rPr>
              <w:fldChar w:fldCharType="end"/>
            </w:r>
          </w:hyperlink>
        </w:p>
        <w:p w14:paraId="0D257351" w14:textId="0A4A9D28" w:rsidR="009D7723" w:rsidRDefault="00FB4CA3" w:rsidP="00C40415">
          <w:pPr>
            <w:pStyle w:val="TOC2"/>
            <w:tabs>
              <w:tab w:val="clear" w:pos="9016"/>
              <w:tab w:val="right" w:leader="dot" w:pos="9015"/>
            </w:tabs>
            <w:spacing w:after="0" w:line="276" w:lineRule="auto"/>
            <w:rPr>
              <w:rStyle w:val="Hyperlink"/>
              <w:noProof/>
              <w:kern w:val="2"/>
              <w:lang w:eastAsia="en-GB"/>
              <w14:ligatures w14:val="standardContextual"/>
            </w:rPr>
          </w:pPr>
          <w:r w:rsidRPr="0069447D">
            <w:fldChar w:fldCharType="end"/>
          </w:r>
        </w:p>
      </w:sdtContent>
    </w:sdt>
    <w:p w14:paraId="7270FE42" w14:textId="4C186256" w:rsidR="003471D7" w:rsidRDefault="003471D7" w:rsidP="00C40415">
      <w:pPr>
        <w:pStyle w:val="TOC3"/>
        <w:tabs>
          <w:tab w:val="right" w:leader="dot" w:pos="9015"/>
        </w:tabs>
        <w:spacing w:after="0" w:line="276" w:lineRule="auto"/>
        <w:rPr>
          <w:rStyle w:val="Hyperlink"/>
          <w:noProof/>
          <w:kern w:val="2"/>
          <w:lang w:eastAsia="en-GB"/>
          <w14:ligatures w14:val="standardContextual"/>
        </w:rPr>
      </w:pPr>
    </w:p>
    <w:p w14:paraId="5DC1104E" w14:textId="73D7296D" w:rsidR="00371698" w:rsidRDefault="00371698" w:rsidP="00C40415">
      <w:pPr>
        <w:spacing w:after="0" w:line="276" w:lineRule="auto"/>
      </w:pPr>
    </w:p>
    <w:p w14:paraId="758786E8" w14:textId="77777777" w:rsidR="005109DB" w:rsidRDefault="005109DB" w:rsidP="00C40415">
      <w:pPr>
        <w:spacing w:after="0" w:line="276" w:lineRule="auto"/>
      </w:pPr>
    </w:p>
    <w:p w14:paraId="607DA116" w14:textId="77777777" w:rsidR="005109DB" w:rsidRDefault="005109DB" w:rsidP="00C40415">
      <w:pPr>
        <w:spacing w:after="0" w:line="276" w:lineRule="auto"/>
      </w:pPr>
    </w:p>
    <w:p w14:paraId="7B19283B" w14:textId="77777777" w:rsidR="005109DB" w:rsidRDefault="005109DB" w:rsidP="00C40415">
      <w:pPr>
        <w:spacing w:after="0" w:line="276" w:lineRule="auto"/>
      </w:pPr>
    </w:p>
    <w:p w14:paraId="56AB960D" w14:textId="4E99BDF4" w:rsidR="00371698" w:rsidRPr="00371698" w:rsidRDefault="005109DB" w:rsidP="00C40415">
      <w:pPr>
        <w:spacing w:after="0" w:line="276" w:lineRule="auto"/>
      </w:pPr>
      <w:r>
        <w:br w:type="page"/>
      </w:r>
    </w:p>
    <w:p w14:paraId="7AA75D88" w14:textId="01BC334E" w:rsidR="00B87D48" w:rsidRPr="00027356" w:rsidRDefault="00CC6B1B" w:rsidP="00C40415">
      <w:pPr>
        <w:pStyle w:val="Heading2"/>
        <w:spacing w:before="0" w:line="276" w:lineRule="auto"/>
        <w:rPr>
          <w:color w:val="auto"/>
        </w:rPr>
      </w:pPr>
      <w:bookmarkStart w:id="0" w:name="_Toc163663722"/>
      <w:r w:rsidRPr="00027356">
        <w:rPr>
          <w:color w:val="auto"/>
        </w:rPr>
        <w:lastRenderedPageBreak/>
        <w:t>Introduction</w:t>
      </w:r>
      <w:bookmarkEnd w:id="0"/>
    </w:p>
    <w:p w14:paraId="21D8C30D" w14:textId="3FBFDC82" w:rsidR="009F2D9F" w:rsidRDefault="009F2D9F" w:rsidP="00C40415">
      <w:pPr>
        <w:pStyle w:val="ListParagraph"/>
        <w:numPr>
          <w:ilvl w:val="0"/>
          <w:numId w:val="1"/>
        </w:numPr>
        <w:spacing w:after="0" w:line="276" w:lineRule="auto"/>
      </w:pPr>
      <w:r>
        <w:t xml:space="preserve">The University operates its complaints handling in line with the Higher Education Model Complaints Handling Procedure published by the </w:t>
      </w:r>
      <w:hyperlink r:id="rId12" w:history="1">
        <w:r w:rsidRPr="00D74941">
          <w:rPr>
            <w:rStyle w:val="Hyperlink"/>
          </w:rPr>
          <w:t>Scottish Public Services Ombudsman</w:t>
        </w:r>
      </w:hyperlink>
      <w:r>
        <w:t xml:space="preserve"> (SPSO). </w:t>
      </w:r>
      <w:r w:rsidR="00DD7D66" w:rsidRPr="00DD7D66">
        <w:t xml:space="preserve">The guidance and information on the University’s </w:t>
      </w:r>
      <w:r w:rsidR="00DD7D66">
        <w:t>Complaints Handling Procedure</w:t>
      </w:r>
      <w:r w:rsidR="00DD7D66" w:rsidRPr="00DD7D66">
        <w:t xml:space="preserve"> can be found at</w:t>
      </w:r>
      <w:r w:rsidR="00FB645E">
        <w:t xml:space="preserve"> the </w:t>
      </w:r>
      <w:r w:rsidR="00ED3C50">
        <w:t>‘</w:t>
      </w:r>
      <w:hyperlink r:id="rId13" w:history="1">
        <w:r w:rsidR="00ED3C50" w:rsidRPr="00ED3C50">
          <w:rPr>
            <w:rStyle w:val="Hyperlink"/>
          </w:rPr>
          <w:t>Complaints</w:t>
        </w:r>
      </w:hyperlink>
      <w:r w:rsidR="00ED3C50">
        <w:t xml:space="preserve">’ section of the </w:t>
      </w:r>
      <w:r w:rsidR="00FB645E">
        <w:t>University website</w:t>
      </w:r>
      <w:r w:rsidR="00DD7D66">
        <w:t>.</w:t>
      </w:r>
      <w:r>
        <w:br/>
      </w:r>
    </w:p>
    <w:p w14:paraId="5A1DEB5F" w14:textId="7BD584C9" w:rsidR="009F2D9F" w:rsidRDefault="009F2D9F" w:rsidP="00C40415">
      <w:pPr>
        <w:pStyle w:val="ListParagraph"/>
        <w:numPr>
          <w:ilvl w:val="0"/>
          <w:numId w:val="1"/>
        </w:numPr>
        <w:spacing w:after="0" w:line="276" w:lineRule="auto"/>
      </w:pPr>
      <w:r>
        <w:t>Th</w:t>
      </w:r>
      <w:r w:rsidR="769DDA05">
        <w:t>e</w:t>
      </w:r>
      <w:r>
        <w:t xml:space="preserve"> </w:t>
      </w:r>
      <w:r w:rsidR="00BF1066">
        <w:t xml:space="preserve">purpose of this </w:t>
      </w:r>
      <w:r w:rsidR="002C1903">
        <w:t xml:space="preserve">document is to </w:t>
      </w:r>
      <w:r>
        <w:t xml:space="preserve">report </w:t>
      </w:r>
      <w:r w:rsidR="002C1903">
        <w:t xml:space="preserve">on the University’s complaints handling performance </w:t>
      </w:r>
      <w:r w:rsidR="004E5B6C">
        <w:t>in the 2022-23 academic year (1 August 2022- 31 July 2023)</w:t>
      </w:r>
      <w:r w:rsidR="00EB3C7A">
        <w:t xml:space="preserve"> </w:t>
      </w:r>
      <w:r w:rsidR="007B3F45">
        <w:t>in line with</w:t>
      </w:r>
      <w:r w:rsidR="00C63369">
        <w:t xml:space="preserve"> </w:t>
      </w:r>
      <w:r w:rsidR="007B3F45">
        <w:t>Key Performance Indicators (KPIs)</w:t>
      </w:r>
      <w:r w:rsidR="0031268C">
        <w:t xml:space="preserve">, </w:t>
      </w:r>
      <w:r w:rsidR="00C63369">
        <w:t xml:space="preserve">and in respect of </w:t>
      </w:r>
      <w:r w:rsidR="0031268C">
        <w:t>complaint trends</w:t>
      </w:r>
      <w:r w:rsidR="00C63369">
        <w:t>,</w:t>
      </w:r>
      <w:r w:rsidR="0031268C">
        <w:t xml:space="preserve"> and actions taken or planned in response to complaints</w:t>
      </w:r>
      <w:r w:rsidR="00C63369">
        <w:t>.</w:t>
      </w:r>
      <w:r w:rsidR="004D2EAC">
        <w:t xml:space="preserve"> </w:t>
      </w:r>
    </w:p>
    <w:p w14:paraId="542DA819" w14:textId="77777777" w:rsidR="000C18E8" w:rsidRDefault="000C18E8" w:rsidP="00C40415">
      <w:pPr>
        <w:spacing w:after="0" w:line="276" w:lineRule="auto"/>
      </w:pPr>
    </w:p>
    <w:p w14:paraId="665A6448" w14:textId="77777777" w:rsidR="00A9056F" w:rsidRPr="00027356" w:rsidRDefault="00A9056F" w:rsidP="00C40415">
      <w:pPr>
        <w:spacing w:after="0" w:line="276" w:lineRule="auto"/>
      </w:pPr>
    </w:p>
    <w:p w14:paraId="51D11C04" w14:textId="2A912ACB" w:rsidR="00CC6B1B" w:rsidRPr="00027356" w:rsidRDefault="00CC6B1B" w:rsidP="00C40415">
      <w:pPr>
        <w:pStyle w:val="Heading2"/>
        <w:spacing w:before="0" w:line="276" w:lineRule="auto"/>
        <w:rPr>
          <w:color w:val="auto"/>
        </w:rPr>
      </w:pPr>
      <w:bookmarkStart w:id="1" w:name="_Toc163663723"/>
      <w:r w:rsidRPr="00027356">
        <w:rPr>
          <w:color w:val="auto"/>
        </w:rPr>
        <w:t xml:space="preserve">Overview of </w:t>
      </w:r>
      <w:r w:rsidR="00432BCA" w:rsidRPr="00027356">
        <w:rPr>
          <w:color w:val="auto"/>
        </w:rPr>
        <w:t>the</w:t>
      </w:r>
      <w:r w:rsidRPr="00027356">
        <w:rPr>
          <w:color w:val="auto"/>
        </w:rPr>
        <w:t xml:space="preserve"> Complaints Handling Procedure</w:t>
      </w:r>
      <w:bookmarkEnd w:id="1"/>
    </w:p>
    <w:p w14:paraId="4D27C6B8" w14:textId="642070A7" w:rsidR="001A3B25" w:rsidRDefault="009F2D9F" w:rsidP="00C40415">
      <w:pPr>
        <w:pStyle w:val="ListParagraph"/>
        <w:numPr>
          <w:ilvl w:val="0"/>
          <w:numId w:val="1"/>
        </w:numPr>
        <w:spacing w:after="0" w:line="276" w:lineRule="auto"/>
      </w:pPr>
      <w:r>
        <w:t xml:space="preserve">The University’s Complaints Handling Procedure involves up to two </w:t>
      </w:r>
      <w:r w:rsidR="00A42E0B">
        <w:t>stage</w:t>
      </w:r>
      <w:r>
        <w:t>s.</w:t>
      </w:r>
      <w:r w:rsidR="00CC6B1B">
        <w:t xml:space="preserve"> </w:t>
      </w:r>
      <w:r>
        <w:br/>
      </w:r>
      <w:r>
        <w:br/>
      </w:r>
      <w:r w:rsidR="00A42E0B" w:rsidRPr="00027356">
        <w:rPr>
          <w:rStyle w:val="Heading6Char"/>
          <w:color w:val="auto"/>
        </w:rPr>
        <w:t>Stage</w:t>
      </w:r>
      <w:r w:rsidRPr="00027356">
        <w:rPr>
          <w:rStyle w:val="Heading6Char"/>
          <w:color w:val="auto"/>
        </w:rPr>
        <w:t xml:space="preserve"> One – Frontline </w:t>
      </w:r>
      <w:r w:rsidR="00935775">
        <w:rPr>
          <w:rStyle w:val="Heading6Char"/>
          <w:color w:val="auto"/>
        </w:rPr>
        <w:t>R</w:t>
      </w:r>
      <w:r w:rsidRPr="00027356">
        <w:rPr>
          <w:rStyle w:val="Heading6Char"/>
          <w:color w:val="auto"/>
        </w:rPr>
        <w:t>es</w:t>
      </w:r>
      <w:r w:rsidR="00371698" w:rsidRPr="00027356">
        <w:rPr>
          <w:rStyle w:val="Heading6Char"/>
          <w:color w:val="auto"/>
        </w:rPr>
        <w:t>ponse</w:t>
      </w:r>
      <w:r w:rsidR="00D527FA">
        <w:br/>
        <w:t>Seeks to res</w:t>
      </w:r>
      <w:r w:rsidR="00371698">
        <w:t>pond to</w:t>
      </w:r>
      <w:r w:rsidR="00D527FA">
        <w:t xml:space="preserve"> straightforward complaints swiftly and effectively at the source of the concern or issue.</w:t>
      </w:r>
      <w:r>
        <w:br/>
      </w:r>
      <w:r>
        <w:br/>
      </w:r>
      <w:r w:rsidR="00A42E0B" w:rsidRPr="00027356">
        <w:rPr>
          <w:rStyle w:val="Heading6Char"/>
          <w:color w:val="auto"/>
        </w:rPr>
        <w:t>Stage</w:t>
      </w:r>
      <w:r w:rsidRPr="00027356">
        <w:rPr>
          <w:rStyle w:val="Heading6Char"/>
          <w:color w:val="auto"/>
        </w:rPr>
        <w:t xml:space="preserve"> Two – Investigation</w:t>
      </w:r>
      <w:r w:rsidRPr="00B013D4">
        <w:rPr>
          <w:rStyle w:val="Heading6Char"/>
        </w:rPr>
        <w:br/>
      </w:r>
      <w:r>
        <w:t>A</w:t>
      </w:r>
      <w:r w:rsidR="00CC6B1B">
        <w:t>ppropriate where a complain</w:t>
      </w:r>
      <w:r w:rsidR="00B90EA5">
        <w:t>an</w:t>
      </w:r>
      <w:r w:rsidR="00CC6B1B">
        <w:t>t is dissatisfied with the outcome of frontline resolution</w:t>
      </w:r>
      <w:r w:rsidR="00371698">
        <w:t xml:space="preserve"> and requires escalation</w:t>
      </w:r>
      <w:r w:rsidR="00CC6B1B">
        <w:t xml:space="preserve">, or where frontline resolution is not possible or appropriate due to the complexity or seriousness of the case. </w:t>
      </w:r>
      <w:r>
        <w:br/>
      </w:r>
    </w:p>
    <w:p w14:paraId="306E161C" w14:textId="79967042" w:rsidR="0004500B" w:rsidRDefault="009F2D9F" w:rsidP="00C40415">
      <w:pPr>
        <w:pStyle w:val="ListParagraph"/>
        <w:numPr>
          <w:ilvl w:val="0"/>
          <w:numId w:val="1"/>
        </w:numPr>
        <w:spacing w:after="0" w:line="276" w:lineRule="auto"/>
      </w:pPr>
      <w:r>
        <w:t xml:space="preserve">These two </w:t>
      </w:r>
      <w:r w:rsidR="00A42E0B">
        <w:t>stage</w:t>
      </w:r>
      <w:r>
        <w:t xml:space="preserve">s represent the full scope of the University’s </w:t>
      </w:r>
      <w:r w:rsidR="00497AF8">
        <w:t xml:space="preserve">complaint </w:t>
      </w:r>
      <w:r>
        <w:t xml:space="preserve">procedure. Where a complainant remains dissatisfied at the conclusion of the University’s </w:t>
      </w:r>
      <w:r w:rsidR="00B24E69">
        <w:t xml:space="preserve">consideration of a </w:t>
      </w:r>
      <w:r>
        <w:t xml:space="preserve">complaint, a request can be made to the SPSO for an independent review of the complaint. The SPSO is the final </w:t>
      </w:r>
      <w:r w:rsidR="00A42E0B">
        <w:t>stage</w:t>
      </w:r>
      <w:r>
        <w:t xml:space="preserve"> for complaints about universities in Scotland.</w:t>
      </w:r>
    </w:p>
    <w:p w14:paraId="663C2E68" w14:textId="77777777" w:rsidR="000C18E8" w:rsidRDefault="000C18E8" w:rsidP="00C40415">
      <w:pPr>
        <w:spacing w:after="0" w:line="276" w:lineRule="auto"/>
      </w:pPr>
    </w:p>
    <w:p w14:paraId="521A94B1" w14:textId="77777777" w:rsidR="00F5231D" w:rsidRDefault="00F5231D" w:rsidP="00C40415">
      <w:pPr>
        <w:spacing w:after="0" w:line="276" w:lineRule="auto"/>
      </w:pPr>
    </w:p>
    <w:p w14:paraId="2EBC0BC2" w14:textId="33E21FCF" w:rsidR="00F5231D" w:rsidRPr="00027356" w:rsidRDefault="00F5231D" w:rsidP="00C40415">
      <w:pPr>
        <w:pStyle w:val="Heading2"/>
        <w:spacing w:before="0" w:line="276" w:lineRule="auto"/>
        <w:rPr>
          <w:color w:val="auto"/>
        </w:rPr>
      </w:pPr>
      <w:bookmarkStart w:id="2" w:name="_Toc163663724"/>
      <w:r w:rsidRPr="00027356">
        <w:rPr>
          <w:color w:val="auto"/>
        </w:rPr>
        <w:t>Complaints</w:t>
      </w:r>
      <w:bookmarkStart w:id="3" w:name="_Hlk160015089"/>
      <w:bookmarkStart w:id="4" w:name="_Hlk84588609"/>
      <w:r w:rsidR="00633C91" w:rsidRPr="00027356">
        <w:rPr>
          <w:color w:val="auto"/>
        </w:rPr>
        <w:t xml:space="preserve"> Received</w:t>
      </w:r>
      <w:bookmarkEnd w:id="2"/>
    </w:p>
    <w:bookmarkEnd w:id="3"/>
    <w:p w14:paraId="5E460C00" w14:textId="344D9CE1" w:rsidR="008D7F6B" w:rsidRDefault="008D7F6B" w:rsidP="00C40415">
      <w:pPr>
        <w:pStyle w:val="ListParagraph"/>
        <w:numPr>
          <w:ilvl w:val="0"/>
          <w:numId w:val="1"/>
        </w:numPr>
        <w:spacing w:after="0" w:line="276" w:lineRule="auto"/>
      </w:pPr>
      <w:r>
        <w:t xml:space="preserve">The University welcomes the opportunities for learning and reflection that complaints create, and continues to focus on ensuring that students and other members of the University community are made aware of </w:t>
      </w:r>
      <w:r w:rsidR="00AC41F7">
        <w:t xml:space="preserve">and have ready access to </w:t>
      </w:r>
      <w:r>
        <w:t xml:space="preserve">the </w:t>
      </w:r>
      <w:r w:rsidR="00D85999">
        <w:t>Complaints Handling Procedure.</w:t>
      </w:r>
      <w:r>
        <w:t xml:space="preserve"> </w:t>
      </w:r>
    </w:p>
    <w:p w14:paraId="50635109" w14:textId="77777777" w:rsidR="008D7F6B" w:rsidRDefault="008D7F6B" w:rsidP="00C40415">
      <w:pPr>
        <w:pStyle w:val="ListParagraph"/>
        <w:spacing w:after="0" w:line="276" w:lineRule="auto"/>
        <w:ind w:left="360"/>
      </w:pPr>
    </w:p>
    <w:p w14:paraId="1285D9F2" w14:textId="1EC43637" w:rsidR="00F5231D" w:rsidRDefault="00F5231D" w:rsidP="00224BF4">
      <w:pPr>
        <w:pStyle w:val="ListParagraph"/>
        <w:numPr>
          <w:ilvl w:val="0"/>
          <w:numId w:val="1"/>
        </w:numPr>
        <w:spacing w:after="0" w:line="276" w:lineRule="auto"/>
      </w:pPr>
      <w:r>
        <w:t xml:space="preserve">During the 2022-23 academic year the University received </w:t>
      </w:r>
      <w:r w:rsidR="00265F30">
        <w:t xml:space="preserve">a total of </w:t>
      </w:r>
      <w:r w:rsidR="00265F30" w:rsidRPr="00CA0285">
        <w:t>28</w:t>
      </w:r>
      <w:r w:rsidR="00F444FE" w:rsidRPr="00CA0285">
        <w:t>3</w:t>
      </w:r>
      <w:r w:rsidR="00265F30">
        <w:t xml:space="preserve"> complaints, broken down as follows</w:t>
      </w:r>
      <w:r>
        <w:t>:</w:t>
      </w:r>
    </w:p>
    <w:p w14:paraId="0925CD72" w14:textId="77777777" w:rsidR="00DB3DF3" w:rsidRDefault="00DB3DF3" w:rsidP="00DB3DF3">
      <w:pPr>
        <w:spacing w:after="0" w:line="276" w:lineRule="auto"/>
      </w:pPr>
    </w:p>
    <w:tbl>
      <w:tblPr>
        <w:tblStyle w:val="List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7382"/>
        <w:gridCol w:w="851"/>
      </w:tblGrid>
      <w:tr w:rsidR="00F5231D" w14:paraId="179AFFC4" w14:textId="77777777" w:rsidTr="00224B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2" w:type="dxa"/>
            <w:tcBorders>
              <w:top w:val="none" w:sz="0" w:space="0" w:color="auto"/>
              <w:left w:val="none" w:sz="0" w:space="0" w:color="auto"/>
              <w:bottom w:val="none" w:sz="0" w:space="0" w:color="auto"/>
            </w:tcBorders>
            <w:shd w:val="clear" w:color="auto" w:fill="538135" w:themeFill="accent6" w:themeFillShade="BF"/>
          </w:tcPr>
          <w:p w14:paraId="67D100AF" w14:textId="77777777" w:rsidR="00F5231D" w:rsidRPr="00AE22A9" w:rsidRDefault="00F5231D" w:rsidP="00C40415">
            <w:pPr>
              <w:pStyle w:val="ListParagraph"/>
              <w:spacing w:line="276" w:lineRule="auto"/>
              <w:ind w:left="0"/>
            </w:pPr>
            <w:r w:rsidRPr="00AE22A9">
              <w:t>Total number of complaints</w:t>
            </w:r>
          </w:p>
        </w:tc>
        <w:tc>
          <w:tcPr>
            <w:tcW w:w="851" w:type="dxa"/>
            <w:tcBorders>
              <w:top w:val="none" w:sz="0" w:space="0" w:color="auto"/>
              <w:bottom w:val="none" w:sz="0" w:space="0" w:color="auto"/>
              <w:right w:val="none" w:sz="0" w:space="0" w:color="auto"/>
            </w:tcBorders>
            <w:shd w:val="clear" w:color="auto" w:fill="538135" w:themeFill="accent6" w:themeFillShade="BF"/>
          </w:tcPr>
          <w:p w14:paraId="5814234C" w14:textId="3A92351A" w:rsidR="00F5231D" w:rsidRPr="00AE22A9" w:rsidRDefault="00F5231D" w:rsidP="00C40415">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pPr>
            <w:r w:rsidRPr="00AE22A9">
              <w:t>28</w:t>
            </w:r>
            <w:r w:rsidR="00F444FE">
              <w:t>3</w:t>
            </w:r>
          </w:p>
        </w:tc>
      </w:tr>
      <w:tr w:rsidR="00F5231D" w14:paraId="2BFA2877" w14:textId="77777777" w:rsidTr="000273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2" w:type="dxa"/>
            <w:shd w:val="clear" w:color="auto" w:fill="auto"/>
          </w:tcPr>
          <w:p w14:paraId="3052BDEC" w14:textId="7A3C9FAA" w:rsidR="00F5231D" w:rsidRPr="006D2D42" w:rsidRDefault="000A53B1" w:rsidP="00C40415">
            <w:pPr>
              <w:pStyle w:val="ListParagraph"/>
              <w:spacing w:line="276" w:lineRule="auto"/>
              <w:ind w:left="0"/>
              <w:rPr>
                <w:b w:val="0"/>
                <w:bCs w:val="0"/>
              </w:rPr>
            </w:pPr>
            <w:r>
              <w:rPr>
                <w:b w:val="0"/>
                <w:bCs w:val="0"/>
              </w:rPr>
              <w:t xml:space="preserve">Received as a </w:t>
            </w:r>
            <w:r w:rsidR="00F5231D" w:rsidRPr="006D2D42">
              <w:rPr>
                <w:b w:val="0"/>
                <w:bCs w:val="0"/>
              </w:rPr>
              <w:t>Stage 1 complaint</w:t>
            </w:r>
          </w:p>
        </w:tc>
        <w:tc>
          <w:tcPr>
            <w:tcW w:w="851" w:type="dxa"/>
            <w:shd w:val="clear" w:color="auto" w:fill="auto"/>
          </w:tcPr>
          <w:p w14:paraId="714CD7A7" w14:textId="66BAC767" w:rsidR="00F5231D" w:rsidRPr="00AE22A9" w:rsidRDefault="00F5231D" w:rsidP="00C40415">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b/>
                <w:bCs/>
              </w:rPr>
            </w:pPr>
            <w:r w:rsidRPr="004D795A">
              <w:rPr>
                <w:b/>
                <w:bCs/>
              </w:rPr>
              <w:t>2</w:t>
            </w:r>
            <w:r w:rsidR="00EA7AAF" w:rsidRPr="004D795A">
              <w:rPr>
                <w:b/>
                <w:bCs/>
              </w:rPr>
              <w:t>2</w:t>
            </w:r>
            <w:r w:rsidR="00F444FE" w:rsidRPr="004D795A">
              <w:rPr>
                <w:b/>
                <w:bCs/>
              </w:rPr>
              <w:t>9</w:t>
            </w:r>
          </w:p>
        </w:tc>
      </w:tr>
      <w:tr w:rsidR="00F5231D" w14:paraId="0BD518B1" w14:textId="77777777" w:rsidTr="00027356">
        <w:trPr>
          <w:jc w:val="center"/>
        </w:trPr>
        <w:tc>
          <w:tcPr>
            <w:cnfStyle w:val="001000000000" w:firstRow="0" w:lastRow="0" w:firstColumn="1" w:lastColumn="0" w:oddVBand="0" w:evenVBand="0" w:oddHBand="0" w:evenHBand="0" w:firstRowFirstColumn="0" w:firstRowLastColumn="0" w:lastRowFirstColumn="0" w:lastRowLastColumn="0"/>
            <w:tcW w:w="7382" w:type="dxa"/>
            <w:shd w:val="clear" w:color="auto" w:fill="auto"/>
          </w:tcPr>
          <w:p w14:paraId="36EF2E61" w14:textId="18957B81" w:rsidR="00F5231D" w:rsidRPr="006D2D42" w:rsidRDefault="000A53B1" w:rsidP="00C40415">
            <w:pPr>
              <w:pStyle w:val="ListParagraph"/>
              <w:spacing w:line="276" w:lineRule="auto"/>
              <w:ind w:left="0"/>
              <w:rPr>
                <w:b w:val="0"/>
                <w:bCs w:val="0"/>
              </w:rPr>
            </w:pPr>
            <w:r>
              <w:rPr>
                <w:b w:val="0"/>
                <w:bCs w:val="0"/>
              </w:rPr>
              <w:t>E</w:t>
            </w:r>
            <w:r w:rsidR="00F5231D" w:rsidRPr="006D2D42">
              <w:rPr>
                <w:b w:val="0"/>
                <w:bCs w:val="0"/>
              </w:rPr>
              <w:t>scalated from Stage 1 to Stage 2</w:t>
            </w:r>
            <w:r>
              <w:rPr>
                <w:b w:val="0"/>
                <w:bCs w:val="0"/>
              </w:rPr>
              <w:t xml:space="preserve"> complaint</w:t>
            </w:r>
          </w:p>
        </w:tc>
        <w:tc>
          <w:tcPr>
            <w:tcW w:w="851" w:type="dxa"/>
            <w:shd w:val="clear" w:color="auto" w:fill="auto"/>
          </w:tcPr>
          <w:p w14:paraId="10D30E37" w14:textId="77777777" w:rsidR="00F5231D" w:rsidRPr="000C4480" w:rsidRDefault="00F5231D" w:rsidP="00C40415">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b/>
                <w:bCs/>
              </w:rPr>
            </w:pPr>
            <w:r w:rsidRPr="000C4480">
              <w:rPr>
                <w:b/>
                <w:bCs/>
              </w:rPr>
              <w:t>3</w:t>
            </w:r>
          </w:p>
        </w:tc>
      </w:tr>
      <w:tr w:rsidR="00F5231D" w14:paraId="1728D786" w14:textId="77777777" w:rsidTr="000273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2" w:type="dxa"/>
            <w:shd w:val="clear" w:color="auto" w:fill="auto"/>
          </w:tcPr>
          <w:p w14:paraId="0921076F" w14:textId="246D356F" w:rsidR="00F5231D" w:rsidRPr="006D2D42" w:rsidRDefault="000A53B1" w:rsidP="00C40415">
            <w:pPr>
              <w:pStyle w:val="ListParagraph"/>
              <w:spacing w:line="276" w:lineRule="auto"/>
              <w:ind w:left="0"/>
              <w:rPr>
                <w:b w:val="0"/>
                <w:bCs w:val="0"/>
              </w:rPr>
            </w:pPr>
            <w:r>
              <w:rPr>
                <w:b w:val="0"/>
                <w:bCs w:val="0"/>
              </w:rPr>
              <w:t xml:space="preserve">Received as a </w:t>
            </w:r>
            <w:r w:rsidR="00F5231D" w:rsidRPr="006D2D42">
              <w:rPr>
                <w:b w:val="0"/>
                <w:bCs w:val="0"/>
              </w:rPr>
              <w:t>Stage 2 complaint</w:t>
            </w:r>
          </w:p>
        </w:tc>
        <w:tc>
          <w:tcPr>
            <w:tcW w:w="851" w:type="dxa"/>
            <w:shd w:val="clear" w:color="auto" w:fill="auto"/>
          </w:tcPr>
          <w:p w14:paraId="5326EB97" w14:textId="79A9329B" w:rsidR="00F5231D" w:rsidRPr="000C4480" w:rsidRDefault="000D4573" w:rsidP="00C40415">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b/>
                <w:bCs/>
              </w:rPr>
            </w:pPr>
            <w:r>
              <w:rPr>
                <w:b/>
                <w:bCs/>
              </w:rPr>
              <w:t>30</w:t>
            </w:r>
          </w:p>
        </w:tc>
      </w:tr>
      <w:tr w:rsidR="00F5231D" w14:paraId="1A1D7633" w14:textId="77777777" w:rsidTr="00224BF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2" w:type="dxa"/>
            <w:tcBorders>
              <w:top w:val="none" w:sz="0" w:space="0" w:color="auto"/>
            </w:tcBorders>
            <w:shd w:val="clear" w:color="auto" w:fill="auto"/>
          </w:tcPr>
          <w:p w14:paraId="14E0F717" w14:textId="19343F4F" w:rsidR="00F5231D" w:rsidRPr="006D2D42" w:rsidRDefault="00BC1DD4" w:rsidP="00C40415">
            <w:pPr>
              <w:pStyle w:val="ListParagraph"/>
              <w:spacing w:line="276" w:lineRule="auto"/>
              <w:ind w:left="0"/>
              <w:rPr>
                <w:b w:val="0"/>
                <w:bCs w:val="0"/>
              </w:rPr>
            </w:pPr>
            <w:r>
              <w:rPr>
                <w:b w:val="0"/>
                <w:bCs w:val="0"/>
              </w:rPr>
              <w:t>Referred</w:t>
            </w:r>
            <w:r w:rsidR="003E7989">
              <w:rPr>
                <w:b w:val="0"/>
                <w:bCs w:val="0"/>
              </w:rPr>
              <w:t xml:space="preserve"> to</w:t>
            </w:r>
            <w:r w:rsidR="00F5231D" w:rsidRPr="006D2D42">
              <w:rPr>
                <w:b w:val="0"/>
                <w:bCs w:val="0"/>
              </w:rPr>
              <w:t xml:space="preserve"> </w:t>
            </w:r>
            <w:r w:rsidR="000A53B1">
              <w:rPr>
                <w:b w:val="0"/>
                <w:bCs w:val="0"/>
              </w:rPr>
              <w:t>another</w:t>
            </w:r>
            <w:r w:rsidR="00F5231D" w:rsidRPr="006D2D42">
              <w:rPr>
                <w:b w:val="0"/>
                <w:bCs w:val="0"/>
              </w:rPr>
              <w:t xml:space="preserve"> University procedure (such as Academic Appeals</w:t>
            </w:r>
            <w:r w:rsidR="003E7989">
              <w:rPr>
                <w:b w:val="0"/>
                <w:bCs w:val="0"/>
              </w:rPr>
              <w:t xml:space="preserve"> or Student Discipline</w:t>
            </w:r>
            <w:r w:rsidR="00F5231D" w:rsidRPr="006D2D42">
              <w:rPr>
                <w:b w:val="0"/>
                <w:bCs w:val="0"/>
              </w:rPr>
              <w:t>)</w:t>
            </w:r>
          </w:p>
        </w:tc>
        <w:tc>
          <w:tcPr>
            <w:tcW w:w="851" w:type="dxa"/>
            <w:tcBorders>
              <w:top w:val="none" w:sz="0" w:space="0" w:color="auto"/>
            </w:tcBorders>
            <w:shd w:val="clear" w:color="auto" w:fill="auto"/>
          </w:tcPr>
          <w:p w14:paraId="1573E4CE" w14:textId="77777777" w:rsidR="00F5231D" w:rsidRPr="000C4480" w:rsidRDefault="00F5231D" w:rsidP="00C40415">
            <w:pPr>
              <w:pStyle w:val="ListParagraph"/>
              <w:spacing w:line="276" w:lineRule="auto"/>
              <w:ind w:left="0"/>
              <w:cnfStyle w:val="010000000000" w:firstRow="0" w:lastRow="1" w:firstColumn="0" w:lastColumn="0" w:oddVBand="0" w:evenVBand="0" w:oddHBand="0" w:evenHBand="0" w:firstRowFirstColumn="0" w:firstRowLastColumn="0" w:lastRowFirstColumn="0" w:lastRowLastColumn="0"/>
              <w:rPr>
                <w:b w:val="0"/>
              </w:rPr>
            </w:pPr>
            <w:r w:rsidRPr="000C4480">
              <w:t>21</w:t>
            </w:r>
          </w:p>
        </w:tc>
      </w:tr>
      <w:bookmarkEnd w:id="4"/>
    </w:tbl>
    <w:p w14:paraId="6C437F8A" w14:textId="77777777" w:rsidR="00DB3DF3" w:rsidRPr="00DB3DF3" w:rsidRDefault="00DB3DF3" w:rsidP="00DB3DF3">
      <w:pPr>
        <w:pStyle w:val="ListParagraph"/>
        <w:spacing w:after="0" w:line="276" w:lineRule="auto"/>
        <w:ind w:left="360"/>
        <w:rPr>
          <w:iCs/>
        </w:rPr>
      </w:pPr>
    </w:p>
    <w:p w14:paraId="2FC9C39A" w14:textId="375C555C" w:rsidR="005A0CDA" w:rsidRPr="005A0CDA" w:rsidRDefault="00AA1F42" w:rsidP="00C40415">
      <w:pPr>
        <w:pStyle w:val="ListParagraph"/>
        <w:numPr>
          <w:ilvl w:val="0"/>
          <w:numId w:val="1"/>
        </w:numPr>
        <w:spacing w:after="0" w:line="276" w:lineRule="auto"/>
        <w:rPr>
          <w:i/>
        </w:rPr>
      </w:pPr>
      <w:r>
        <w:lastRenderedPageBreak/>
        <w:t xml:space="preserve">The overall total number of complaints </w:t>
      </w:r>
      <w:r w:rsidR="004D08C3">
        <w:t xml:space="preserve">received in 2022-23 </w:t>
      </w:r>
      <w:r w:rsidR="005258F6">
        <w:t xml:space="preserve">represents an </w:t>
      </w:r>
      <w:r w:rsidR="004D08C3">
        <w:t>increase</w:t>
      </w:r>
      <w:r w:rsidR="005258F6">
        <w:t xml:space="preserve"> of approximately</w:t>
      </w:r>
      <w:r w:rsidR="004D08C3">
        <w:t xml:space="preserve"> 42% compared to 2021-22. </w:t>
      </w:r>
      <w:r w:rsidR="00F92014">
        <w:t>Within the overall increase in complaint numbers in 2022-23, there was an increase of approximately 140% in the number of complaints received as a Stage 2 complaint. The University therefore experienced increases in both volume and complexity of complaints.</w:t>
      </w:r>
    </w:p>
    <w:p w14:paraId="41040481" w14:textId="77777777" w:rsidR="005A0CDA" w:rsidRDefault="005A0CDA" w:rsidP="00C40415">
      <w:pPr>
        <w:pStyle w:val="ListParagraph"/>
        <w:spacing w:after="0" w:line="276" w:lineRule="auto"/>
        <w:ind w:left="360"/>
      </w:pPr>
    </w:p>
    <w:p w14:paraId="158FA7B2" w14:textId="7426F23E" w:rsidR="007523CF" w:rsidRDefault="007523CF" w:rsidP="00C40415">
      <w:pPr>
        <w:pStyle w:val="ListParagraph"/>
        <w:numPr>
          <w:ilvl w:val="0"/>
          <w:numId w:val="1"/>
        </w:numPr>
        <w:spacing w:after="0" w:line="276" w:lineRule="auto"/>
      </w:pPr>
      <w:r>
        <w:t xml:space="preserve">The total number of complaints received from students during 2022-23 was </w:t>
      </w:r>
      <w:r w:rsidRPr="00C739BA">
        <w:t>166</w:t>
      </w:r>
      <w:r>
        <w:t xml:space="preserve">, </w:t>
      </w:r>
      <w:r w:rsidDel="00783418">
        <w:t>r</w:t>
      </w:r>
      <w:r>
        <w:t>epresenting approximately 59% of the total complaints received.</w:t>
      </w:r>
      <w:r w:rsidR="00C739BA">
        <w:t xml:space="preserve"> T</w:t>
      </w:r>
      <w:r w:rsidRPr="00FF1F51">
        <w:t>he number of complaints received from students increased by 4</w:t>
      </w:r>
      <w:r>
        <w:t>2</w:t>
      </w:r>
      <w:r w:rsidRPr="00FF1F51">
        <w:t>% compared to 2021-22</w:t>
      </w:r>
      <w:r>
        <w:t xml:space="preserve"> when 117 complaints were received from students. However</w:t>
      </w:r>
      <w:r w:rsidRPr="00FF1F51">
        <w:t xml:space="preserve">, </w:t>
      </w:r>
      <w:r w:rsidR="00C739BA">
        <w:t>it is important to note that</w:t>
      </w:r>
      <w:r>
        <w:t xml:space="preserve"> </w:t>
      </w:r>
      <w:r w:rsidRPr="00FF1F51">
        <w:t xml:space="preserve">the </w:t>
      </w:r>
      <w:r>
        <w:t xml:space="preserve">University’s </w:t>
      </w:r>
      <w:r w:rsidRPr="00FF1F51">
        <w:t xml:space="preserve">student population </w:t>
      </w:r>
      <w:r w:rsidR="00C739BA">
        <w:t xml:space="preserve">has </w:t>
      </w:r>
      <w:r w:rsidRPr="00FF1F51">
        <w:t xml:space="preserve">increased </w:t>
      </w:r>
      <w:r>
        <w:t>significantly in</w:t>
      </w:r>
      <w:r w:rsidR="00C739BA">
        <w:t xml:space="preserve"> recent years</w:t>
      </w:r>
      <w:r>
        <w:t xml:space="preserve"> and </w:t>
      </w:r>
      <w:r w:rsidRPr="00FF1F51">
        <w:t xml:space="preserve">the </w:t>
      </w:r>
      <w:r>
        <w:t>number</w:t>
      </w:r>
      <w:r w:rsidRPr="00FF1F51">
        <w:t xml:space="preserve"> of complaints submitted by students </w:t>
      </w:r>
      <w:r>
        <w:t xml:space="preserve">as proportionate to the student body </w:t>
      </w:r>
      <w:r w:rsidR="009344CD">
        <w:t xml:space="preserve">has </w:t>
      </w:r>
      <w:r w:rsidRPr="00FF1F51">
        <w:t>remained comparable</w:t>
      </w:r>
      <w:r w:rsidR="009344CD">
        <w:t xml:space="preserve"> - t</w:t>
      </w:r>
      <w:r>
        <w:t>he proportion of students who submitted a complaint continued to represent less than 1% of the student body.</w:t>
      </w:r>
      <w:r w:rsidR="00026B21">
        <w:t xml:space="preserve"> Furthermore, th</w:t>
      </w:r>
      <w:r w:rsidR="00C21C88">
        <w:t>e</w:t>
      </w:r>
      <w:r w:rsidR="00026B21">
        <w:t xml:space="preserve"> increase is </w:t>
      </w:r>
      <w:r w:rsidR="00DE01ED">
        <w:t>consistent with the overall trajectory of complaint volumes</w:t>
      </w:r>
      <w:r w:rsidR="00434CE1">
        <w:t xml:space="preserve"> experienced in 2022-23.</w:t>
      </w:r>
    </w:p>
    <w:p w14:paraId="588DA2C4" w14:textId="77777777" w:rsidR="00AA1F42" w:rsidRDefault="00AA1F42" w:rsidP="00C40415">
      <w:pPr>
        <w:spacing w:after="0" w:line="276" w:lineRule="auto"/>
      </w:pPr>
    </w:p>
    <w:p w14:paraId="2A9FFFE1" w14:textId="6FDA742C" w:rsidR="00854B6C" w:rsidRDefault="00213C43" w:rsidP="00C40415">
      <w:pPr>
        <w:pStyle w:val="ListParagraph"/>
        <w:numPr>
          <w:ilvl w:val="0"/>
          <w:numId w:val="1"/>
        </w:numPr>
        <w:spacing w:after="0" w:line="276" w:lineRule="auto"/>
      </w:pPr>
      <w:r>
        <w:t>The total of</w:t>
      </w:r>
      <w:r w:rsidR="00854B6C">
        <w:t xml:space="preserve"> 28</w:t>
      </w:r>
      <w:r w:rsidR="007264E5">
        <w:t>3</w:t>
      </w:r>
      <w:r w:rsidR="00854B6C">
        <w:t xml:space="preserve"> complaints</w:t>
      </w:r>
      <w:r>
        <w:t xml:space="preserve"> were received from complainants as follows:</w:t>
      </w:r>
    </w:p>
    <w:p w14:paraId="395C8722" w14:textId="77777777" w:rsidR="00854B6C" w:rsidRDefault="00854B6C" w:rsidP="00C40415">
      <w:pPr>
        <w:spacing w:after="0" w:line="276" w:lineRule="auto"/>
      </w:pPr>
    </w:p>
    <w:tbl>
      <w:tblPr>
        <w:tblStyle w:val="TableGrid"/>
        <w:tblW w:w="0" w:type="auto"/>
        <w:tblInd w:w="421" w:type="dxa"/>
        <w:tblLook w:val="04A0" w:firstRow="1" w:lastRow="0" w:firstColumn="1" w:lastColumn="0" w:noHBand="0" w:noVBand="1"/>
      </w:tblPr>
      <w:tblGrid>
        <w:gridCol w:w="5103"/>
        <w:gridCol w:w="1417"/>
        <w:gridCol w:w="2075"/>
      </w:tblGrid>
      <w:tr w:rsidR="00213C43" w14:paraId="36B60F6C" w14:textId="77777777" w:rsidTr="001C136C">
        <w:tc>
          <w:tcPr>
            <w:tcW w:w="5103" w:type="dxa"/>
            <w:shd w:val="clear" w:color="auto" w:fill="538135" w:themeFill="accent6" w:themeFillShade="BF"/>
          </w:tcPr>
          <w:p w14:paraId="2D537E20" w14:textId="544D5796" w:rsidR="00213C43" w:rsidRPr="001C136C" w:rsidRDefault="00213C43" w:rsidP="00C40415">
            <w:pPr>
              <w:pStyle w:val="ListParagraph"/>
              <w:spacing w:line="276" w:lineRule="auto"/>
              <w:ind w:left="0"/>
              <w:rPr>
                <w:b/>
                <w:bCs/>
                <w:color w:val="FFFFFF" w:themeColor="background1"/>
              </w:rPr>
            </w:pPr>
            <w:r w:rsidRPr="001C136C">
              <w:rPr>
                <w:b/>
                <w:bCs/>
                <w:color w:val="FFFFFF" w:themeColor="background1"/>
              </w:rPr>
              <w:t>Category of Complainant</w:t>
            </w:r>
          </w:p>
        </w:tc>
        <w:tc>
          <w:tcPr>
            <w:tcW w:w="1417" w:type="dxa"/>
            <w:shd w:val="clear" w:color="auto" w:fill="538135" w:themeFill="accent6" w:themeFillShade="BF"/>
          </w:tcPr>
          <w:p w14:paraId="771A5A4D" w14:textId="6A69F5C1" w:rsidR="00213C43" w:rsidRPr="001C136C" w:rsidRDefault="0099642D" w:rsidP="00C40415">
            <w:pPr>
              <w:pStyle w:val="ListParagraph"/>
              <w:spacing w:line="276" w:lineRule="auto"/>
              <w:ind w:left="0"/>
              <w:rPr>
                <w:b/>
                <w:bCs/>
                <w:color w:val="FFFFFF" w:themeColor="background1"/>
              </w:rPr>
            </w:pPr>
            <w:r w:rsidRPr="001C136C">
              <w:rPr>
                <w:b/>
                <w:bCs/>
                <w:color w:val="FFFFFF" w:themeColor="background1"/>
              </w:rPr>
              <w:t>Number of Complaints</w:t>
            </w:r>
          </w:p>
        </w:tc>
        <w:tc>
          <w:tcPr>
            <w:tcW w:w="2075" w:type="dxa"/>
            <w:shd w:val="clear" w:color="auto" w:fill="538135" w:themeFill="accent6" w:themeFillShade="BF"/>
          </w:tcPr>
          <w:p w14:paraId="49074385" w14:textId="46CC75D8" w:rsidR="00213C43" w:rsidRPr="001C136C" w:rsidRDefault="0099642D" w:rsidP="00C40415">
            <w:pPr>
              <w:pStyle w:val="ListParagraph"/>
              <w:spacing w:line="276" w:lineRule="auto"/>
              <w:ind w:left="0"/>
              <w:rPr>
                <w:b/>
                <w:bCs/>
                <w:color w:val="FFFFFF" w:themeColor="background1"/>
              </w:rPr>
            </w:pPr>
            <w:r w:rsidRPr="001C136C">
              <w:rPr>
                <w:b/>
                <w:bCs/>
                <w:color w:val="FFFFFF" w:themeColor="background1"/>
              </w:rPr>
              <w:t>Proportion of Total Complaints</w:t>
            </w:r>
          </w:p>
        </w:tc>
      </w:tr>
      <w:tr w:rsidR="008B2E0B" w14:paraId="2C247CFE" w14:textId="77777777" w:rsidTr="00877FCC">
        <w:tc>
          <w:tcPr>
            <w:tcW w:w="5103" w:type="dxa"/>
          </w:tcPr>
          <w:p w14:paraId="78E769A9" w14:textId="0859B88E" w:rsidR="008B2E0B" w:rsidRDefault="008B2E0B" w:rsidP="00C40415">
            <w:pPr>
              <w:spacing w:line="276" w:lineRule="auto"/>
            </w:pPr>
            <w:r>
              <w:t>Applicant</w:t>
            </w:r>
          </w:p>
        </w:tc>
        <w:tc>
          <w:tcPr>
            <w:tcW w:w="1417" w:type="dxa"/>
          </w:tcPr>
          <w:p w14:paraId="60CD6603" w14:textId="7C517413" w:rsidR="008B2E0B" w:rsidRDefault="00992327" w:rsidP="00C40415">
            <w:pPr>
              <w:spacing w:line="276" w:lineRule="auto"/>
              <w:jc w:val="center"/>
            </w:pPr>
            <w:r>
              <w:t>44</w:t>
            </w:r>
          </w:p>
        </w:tc>
        <w:tc>
          <w:tcPr>
            <w:tcW w:w="2075" w:type="dxa"/>
          </w:tcPr>
          <w:p w14:paraId="42CF7767" w14:textId="57680882" w:rsidR="008B2E0B" w:rsidRDefault="00171A33" w:rsidP="00C40415">
            <w:pPr>
              <w:spacing w:line="276" w:lineRule="auto"/>
              <w:jc w:val="center"/>
            </w:pPr>
            <w:r w:rsidRPr="0069447D">
              <w:t>1</w:t>
            </w:r>
            <w:r w:rsidR="00796F68" w:rsidRPr="0069447D">
              <w:t>5</w:t>
            </w:r>
            <w:r w:rsidR="0098598F">
              <w:t>.</w:t>
            </w:r>
            <w:r w:rsidR="00247D21">
              <w:t>5</w:t>
            </w:r>
            <w:r>
              <w:t>%</w:t>
            </w:r>
          </w:p>
        </w:tc>
      </w:tr>
      <w:tr w:rsidR="00213C43" w14:paraId="5A9C3654" w14:textId="77777777" w:rsidTr="00877FCC">
        <w:tc>
          <w:tcPr>
            <w:tcW w:w="5103" w:type="dxa"/>
          </w:tcPr>
          <w:p w14:paraId="017A6E5E" w14:textId="2D48BE35" w:rsidR="00213C43" w:rsidRDefault="008B2E0B" w:rsidP="00C40415">
            <w:pPr>
              <w:spacing w:line="276" w:lineRule="auto"/>
            </w:pPr>
            <w:r>
              <w:t>Undergraduate Student</w:t>
            </w:r>
          </w:p>
        </w:tc>
        <w:tc>
          <w:tcPr>
            <w:tcW w:w="1417" w:type="dxa"/>
          </w:tcPr>
          <w:p w14:paraId="50E8AE3D" w14:textId="1B67EC30" w:rsidR="00213C43" w:rsidRDefault="00664CD8" w:rsidP="00C40415">
            <w:pPr>
              <w:spacing w:line="276" w:lineRule="auto"/>
              <w:jc w:val="center"/>
            </w:pPr>
            <w:r>
              <w:t>115</w:t>
            </w:r>
          </w:p>
        </w:tc>
        <w:tc>
          <w:tcPr>
            <w:tcW w:w="2075" w:type="dxa"/>
          </w:tcPr>
          <w:p w14:paraId="09714CCE" w14:textId="2D74C729" w:rsidR="00213C43" w:rsidRDefault="00A14706" w:rsidP="00C40415">
            <w:pPr>
              <w:spacing w:line="276" w:lineRule="auto"/>
              <w:jc w:val="center"/>
            </w:pPr>
            <w:r w:rsidRPr="0069447D">
              <w:t>4</w:t>
            </w:r>
            <w:r w:rsidR="006560B0" w:rsidRPr="0069447D">
              <w:t>0</w:t>
            </w:r>
            <w:r w:rsidR="008A0302">
              <w:t>.</w:t>
            </w:r>
            <w:r w:rsidR="00E164C3">
              <w:t>6</w:t>
            </w:r>
            <w:r>
              <w:t>%</w:t>
            </w:r>
          </w:p>
        </w:tc>
      </w:tr>
      <w:tr w:rsidR="00213C43" w14:paraId="27B25292" w14:textId="77777777" w:rsidTr="00877FCC">
        <w:tc>
          <w:tcPr>
            <w:tcW w:w="5103" w:type="dxa"/>
          </w:tcPr>
          <w:p w14:paraId="35DD16E6" w14:textId="2F8B0180" w:rsidR="00213C43" w:rsidRDefault="008B2E0B" w:rsidP="00C40415">
            <w:pPr>
              <w:spacing w:line="276" w:lineRule="auto"/>
            </w:pPr>
            <w:r>
              <w:t>Postgraduate Taught Student</w:t>
            </w:r>
          </w:p>
        </w:tc>
        <w:tc>
          <w:tcPr>
            <w:tcW w:w="1417" w:type="dxa"/>
          </w:tcPr>
          <w:p w14:paraId="7DC43BFC" w14:textId="6E890740" w:rsidR="00213C43" w:rsidRDefault="00664CD8" w:rsidP="00C40415">
            <w:pPr>
              <w:spacing w:line="276" w:lineRule="auto"/>
              <w:jc w:val="center"/>
            </w:pPr>
            <w:r>
              <w:t>48</w:t>
            </w:r>
          </w:p>
        </w:tc>
        <w:tc>
          <w:tcPr>
            <w:tcW w:w="2075" w:type="dxa"/>
          </w:tcPr>
          <w:p w14:paraId="6C3E28DB" w14:textId="36317823" w:rsidR="00213C43" w:rsidRDefault="00071185" w:rsidP="00C40415">
            <w:pPr>
              <w:spacing w:line="276" w:lineRule="auto"/>
              <w:jc w:val="center"/>
            </w:pPr>
            <w:r>
              <w:t>16.9</w:t>
            </w:r>
            <w:r w:rsidR="00A14706">
              <w:t>%</w:t>
            </w:r>
          </w:p>
        </w:tc>
      </w:tr>
      <w:tr w:rsidR="00213C43" w14:paraId="33EE586B" w14:textId="77777777" w:rsidTr="00877FCC">
        <w:tc>
          <w:tcPr>
            <w:tcW w:w="5103" w:type="dxa"/>
          </w:tcPr>
          <w:p w14:paraId="7F166C00" w14:textId="5FA38DFC" w:rsidR="00213C43" w:rsidRDefault="008B2E0B" w:rsidP="00C40415">
            <w:pPr>
              <w:spacing w:line="276" w:lineRule="auto"/>
            </w:pPr>
            <w:r>
              <w:t>Postgraduate Research Student</w:t>
            </w:r>
          </w:p>
        </w:tc>
        <w:tc>
          <w:tcPr>
            <w:tcW w:w="1417" w:type="dxa"/>
          </w:tcPr>
          <w:p w14:paraId="1A3A2859" w14:textId="435C0622" w:rsidR="00213C43" w:rsidRDefault="00664CD8" w:rsidP="00C40415">
            <w:pPr>
              <w:spacing w:line="276" w:lineRule="auto"/>
              <w:jc w:val="center"/>
            </w:pPr>
            <w:r>
              <w:t>3</w:t>
            </w:r>
          </w:p>
        </w:tc>
        <w:tc>
          <w:tcPr>
            <w:tcW w:w="2075" w:type="dxa"/>
          </w:tcPr>
          <w:p w14:paraId="442AAAFC" w14:textId="4A542219" w:rsidR="00213C43" w:rsidRDefault="00D273F0" w:rsidP="00C40415">
            <w:pPr>
              <w:spacing w:line="276" w:lineRule="auto"/>
              <w:jc w:val="center"/>
            </w:pPr>
            <w:r>
              <w:t>1</w:t>
            </w:r>
            <w:r w:rsidR="00C5069A">
              <w:t>.</w:t>
            </w:r>
            <w:r w:rsidR="0005574D">
              <w:t>1</w:t>
            </w:r>
            <w:r>
              <w:t>%</w:t>
            </w:r>
          </w:p>
        </w:tc>
      </w:tr>
      <w:tr w:rsidR="00093E07" w14:paraId="5DF4BFF1" w14:textId="77777777" w:rsidTr="00877FCC">
        <w:tc>
          <w:tcPr>
            <w:tcW w:w="5103" w:type="dxa"/>
          </w:tcPr>
          <w:p w14:paraId="1FABC433" w14:textId="1351028C" w:rsidR="00093E07" w:rsidRDefault="00093E07" w:rsidP="00C40415">
            <w:pPr>
              <w:spacing w:line="276" w:lineRule="auto"/>
            </w:pPr>
            <w:r>
              <w:t xml:space="preserve">External </w:t>
            </w:r>
            <w:r w:rsidR="0099642D">
              <w:t>Individual Advocating on Behalf of a Student</w:t>
            </w:r>
          </w:p>
        </w:tc>
        <w:tc>
          <w:tcPr>
            <w:tcW w:w="1417" w:type="dxa"/>
          </w:tcPr>
          <w:p w14:paraId="1B929359" w14:textId="05B4D813" w:rsidR="00093E07" w:rsidRDefault="005B65C5" w:rsidP="00C40415">
            <w:pPr>
              <w:spacing w:line="276" w:lineRule="auto"/>
              <w:jc w:val="center"/>
            </w:pPr>
            <w:r>
              <w:t>3</w:t>
            </w:r>
          </w:p>
        </w:tc>
        <w:tc>
          <w:tcPr>
            <w:tcW w:w="2075" w:type="dxa"/>
          </w:tcPr>
          <w:p w14:paraId="612B875C" w14:textId="4023800F" w:rsidR="00093E07" w:rsidRDefault="00D273F0" w:rsidP="00C40415">
            <w:pPr>
              <w:spacing w:line="276" w:lineRule="auto"/>
              <w:jc w:val="center"/>
            </w:pPr>
            <w:r>
              <w:t>1</w:t>
            </w:r>
            <w:r w:rsidR="00C5069A">
              <w:t>.</w:t>
            </w:r>
            <w:r w:rsidR="0005574D">
              <w:t>1</w:t>
            </w:r>
            <w:r>
              <w:t>%</w:t>
            </w:r>
          </w:p>
        </w:tc>
      </w:tr>
      <w:tr w:rsidR="00ED490E" w14:paraId="7BC86975" w14:textId="77777777" w:rsidTr="00877FCC">
        <w:tc>
          <w:tcPr>
            <w:tcW w:w="5103" w:type="dxa"/>
          </w:tcPr>
          <w:p w14:paraId="4AF5A0A7" w14:textId="0E6A3C40" w:rsidR="00ED490E" w:rsidRDefault="00ED490E" w:rsidP="00C40415">
            <w:pPr>
              <w:spacing w:line="276" w:lineRule="auto"/>
            </w:pPr>
            <w:r>
              <w:t>Parent/Carer</w:t>
            </w:r>
            <w:r w:rsidR="009F1CF3">
              <w:t>/Guardian</w:t>
            </w:r>
            <w:r>
              <w:t xml:space="preserve"> of a Student or Applicant</w:t>
            </w:r>
          </w:p>
        </w:tc>
        <w:tc>
          <w:tcPr>
            <w:tcW w:w="1417" w:type="dxa"/>
          </w:tcPr>
          <w:p w14:paraId="4C20FEC9" w14:textId="084F01FC" w:rsidR="00ED490E" w:rsidRDefault="005B65C5" w:rsidP="00C40415">
            <w:pPr>
              <w:spacing w:line="276" w:lineRule="auto"/>
              <w:jc w:val="center"/>
            </w:pPr>
            <w:r>
              <w:t>1</w:t>
            </w:r>
            <w:r w:rsidR="00164713">
              <w:t>7</w:t>
            </w:r>
          </w:p>
        </w:tc>
        <w:tc>
          <w:tcPr>
            <w:tcW w:w="2075" w:type="dxa"/>
          </w:tcPr>
          <w:p w14:paraId="28DB2FE0" w14:textId="5C5E27BE" w:rsidR="00ED490E" w:rsidRDefault="00247D21" w:rsidP="00C40415">
            <w:pPr>
              <w:spacing w:line="276" w:lineRule="auto"/>
              <w:jc w:val="center"/>
            </w:pPr>
            <w:r>
              <w:t>6.0</w:t>
            </w:r>
            <w:r w:rsidR="00D273F0">
              <w:t>%</w:t>
            </w:r>
          </w:p>
        </w:tc>
      </w:tr>
      <w:tr w:rsidR="00213C43" w14:paraId="6BC2C634" w14:textId="77777777" w:rsidTr="00877FCC">
        <w:tc>
          <w:tcPr>
            <w:tcW w:w="5103" w:type="dxa"/>
          </w:tcPr>
          <w:p w14:paraId="59C2D6AA" w14:textId="47AA3F6D" w:rsidR="00213C43" w:rsidRDefault="008B2E0B" w:rsidP="00C40415">
            <w:pPr>
              <w:spacing w:line="276" w:lineRule="auto"/>
            </w:pPr>
            <w:r>
              <w:t>University Staff Member</w:t>
            </w:r>
          </w:p>
        </w:tc>
        <w:tc>
          <w:tcPr>
            <w:tcW w:w="1417" w:type="dxa"/>
          </w:tcPr>
          <w:p w14:paraId="22B210C6" w14:textId="4C24B471" w:rsidR="00213C43" w:rsidRDefault="005B65C5" w:rsidP="00C40415">
            <w:pPr>
              <w:spacing w:line="276" w:lineRule="auto"/>
              <w:jc w:val="center"/>
            </w:pPr>
            <w:r>
              <w:t>2</w:t>
            </w:r>
          </w:p>
        </w:tc>
        <w:tc>
          <w:tcPr>
            <w:tcW w:w="2075" w:type="dxa"/>
          </w:tcPr>
          <w:p w14:paraId="243A4DAE" w14:textId="50428EB8" w:rsidR="00213C43" w:rsidRDefault="004E2FCD" w:rsidP="00C40415">
            <w:pPr>
              <w:spacing w:line="276" w:lineRule="auto"/>
              <w:jc w:val="center"/>
            </w:pPr>
            <w:r>
              <w:t>0.7</w:t>
            </w:r>
            <w:r w:rsidR="0094623A">
              <w:t>%</w:t>
            </w:r>
          </w:p>
        </w:tc>
      </w:tr>
      <w:tr w:rsidR="00213C43" w14:paraId="72623860" w14:textId="77777777" w:rsidTr="00877FCC">
        <w:tc>
          <w:tcPr>
            <w:tcW w:w="5103" w:type="dxa"/>
          </w:tcPr>
          <w:p w14:paraId="2A3AA95C" w14:textId="6E8DEC53" w:rsidR="00213C43" w:rsidRDefault="008B2E0B" w:rsidP="00C40415">
            <w:pPr>
              <w:spacing w:line="276" w:lineRule="auto"/>
            </w:pPr>
            <w:r>
              <w:t>University Alumni</w:t>
            </w:r>
          </w:p>
        </w:tc>
        <w:tc>
          <w:tcPr>
            <w:tcW w:w="1417" w:type="dxa"/>
          </w:tcPr>
          <w:p w14:paraId="277FFAA0" w14:textId="5BA1BE28" w:rsidR="00213C43" w:rsidRDefault="005B65C5" w:rsidP="00C40415">
            <w:pPr>
              <w:spacing w:line="276" w:lineRule="auto"/>
              <w:jc w:val="center"/>
            </w:pPr>
            <w:r>
              <w:t>1</w:t>
            </w:r>
          </w:p>
        </w:tc>
        <w:tc>
          <w:tcPr>
            <w:tcW w:w="2075" w:type="dxa"/>
          </w:tcPr>
          <w:p w14:paraId="73BE9B8C" w14:textId="4E2639C7" w:rsidR="00213C43" w:rsidRDefault="00757CBD" w:rsidP="00C40415">
            <w:pPr>
              <w:spacing w:line="276" w:lineRule="auto"/>
              <w:jc w:val="center"/>
            </w:pPr>
            <w:r>
              <w:t>0.</w:t>
            </w:r>
            <w:r w:rsidR="00C73A27">
              <w:t>4</w:t>
            </w:r>
            <w:r w:rsidR="00A32664">
              <w:t>%</w:t>
            </w:r>
          </w:p>
        </w:tc>
      </w:tr>
      <w:tr w:rsidR="00213C43" w14:paraId="2DAB64C6" w14:textId="77777777" w:rsidTr="00877FCC">
        <w:tc>
          <w:tcPr>
            <w:tcW w:w="5103" w:type="dxa"/>
          </w:tcPr>
          <w:p w14:paraId="3D19B815" w14:textId="355B6A98" w:rsidR="00213C43" w:rsidRDefault="0099642D" w:rsidP="00C40415">
            <w:pPr>
              <w:spacing w:line="276" w:lineRule="auto"/>
            </w:pPr>
            <w:r>
              <w:t>Member of the Public</w:t>
            </w:r>
          </w:p>
        </w:tc>
        <w:tc>
          <w:tcPr>
            <w:tcW w:w="1417" w:type="dxa"/>
          </w:tcPr>
          <w:p w14:paraId="1EB7C530" w14:textId="09D422F6" w:rsidR="00213C43" w:rsidRDefault="005B65C5" w:rsidP="00C40415">
            <w:pPr>
              <w:spacing w:line="276" w:lineRule="auto"/>
              <w:jc w:val="center"/>
            </w:pPr>
            <w:r>
              <w:t>47</w:t>
            </w:r>
          </w:p>
        </w:tc>
        <w:tc>
          <w:tcPr>
            <w:tcW w:w="2075" w:type="dxa"/>
          </w:tcPr>
          <w:p w14:paraId="0B1487D3" w14:textId="6EF610AD" w:rsidR="00213C43" w:rsidRDefault="00AA1DC1" w:rsidP="00C40415">
            <w:pPr>
              <w:spacing w:line="276" w:lineRule="auto"/>
              <w:jc w:val="center"/>
            </w:pPr>
            <w:r>
              <w:t>16.</w:t>
            </w:r>
            <w:r w:rsidR="00B7771D">
              <w:t>6</w:t>
            </w:r>
            <w:r w:rsidR="003C11AE">
              <w:t>%</w:t>
            </w:r>
          </w:p>
        </w:tc>
      </w:tr>
      <w:tr w:rsidR="0099642D" w14:paraId="01E06CCB" w14:textId="77777777" w:rsidTr="00877FCC">
        <w:tc>
          <w:tcPr>
            <w:tcW w:w="5103" w:type="dxa"/>
          </w:tcPr>
          <w:p w14:paraId="11740DB0" w14:textId="6A02DF8E" w:rsidR="0099642D" w:rsidRDefault="000C35EE" w:rsidP="00C40415">
            <w:pPr>
              <w:spacing w:line="276" w:lineRule="auto"/>
            </w:pPr>
            <w:r>
              <w:t>Unidentified Individuals</w:t>
            </w:r>
          </w:p>
        </w:tc>
        <w:tc>
          <w:tcPr>
            <w:tcW w:w="1417" w:type="dxa"/>
          </w:tcPr>
          <w:p w14:paraId="2C3DCEE4" w14:textId="702750D1" w:rsidR="0099642D" w:rsidRDefault="005B65C5" w:rsidP="00C40415">
            <w:pPr>
              <w:spacing w:line="276" w:lineRule="auto"/>
              <w:jc w:val="center"/>
            </w:pPr>
            <w:r>
              <w:t>3</w:t>
            </w:r>
          </w:p>
        </w:tc>
        <w:tc>
          <w:tcPr>
            <w:tcW w:w="2075" w:type="dxa"/>
          </w:tcPr>
          <w:p w14:paraId="5A36C2EA" w14:textId="1527090E" w:rsidR="0099642D" w:rsidRDefault="003C11AE" w:rsidP="00C40415">
            <w:pPr>
              <w:spacing w:line="276" w:lineRule="auto"/>
              <w:jc w:val="center"/>
            </w:pPr>
            <w:r>
              <w:t>1</w:t>
            </w:r>
            <w:r w:rsidR="00AA1DC1">
              <w:t>.</w:t>
            </w:r>
            <w:r w:rsidR="0005574D">
              <w:t>1</w:t>
            </w:r>
            <w:r>
              <w:t>%</w:t>
            </w:r>
          </w:p>
        </w:tc>
      </w:tr>
    </w:tbl>
    <w:p w14:paraId="1D3333C4" w14:textId="704B8AB2" w:rsidR="00A9056F" w:rsidRDefault="00A9056F" w:rsidP="00C40415">
      <w:pPr>
        <w:spacing w:after="0" w:line="276" w:lineRule="auto"/>
      </w:pPr>
    </w:p>
    <w:p w14:paraId="42342DB0" w14:textId="77777777" w:rsidR="00DB3DF3" w:rsidRDefault="00DB3DF3" w:rsidP="00C40415">
      <w:pPr>
        <w:spacing w:after="0" w:line="276" w:lineRule="auto"/>
        <w:rPr>
          <w:rFonts w:asciiTheme="majorHAnsi" w:eastAsiaTheme="majorEastAsia" w:hAnsiTheme="majorHAnsi" w:cstheme="majorBidi"/>
          <w:color w:val="1F4D78" w:themeColor="accent1" w:themeShade="7F"/>
          <w:sz w:val="24"/>
          <w:szCs w:val="24"/>
        </w:rPr>
      </w:pPr>
    </w:p>
    <w:p w14:paraId="2B37A0AC" w14:textId="3C2CC94C" w:rsidR="00633C91" w:rsidRPr="00027356" w:rsidRDefault="00633C91" w:rsidP="00C40415">
      <w:pPr>
        <w:pStyle w:val="Heading3"/>
        <w:spacing w:before="0" w:line="276" w:lineRule="auto"/>
        <w:rPr>
          <w:color w:val="auto"/>
        </w:rPr>
      </w:pPr>
      <w:bookmarkStart w:id="5" w:name="_Toc163663725"/>
      <w:r w:rsidRPr="00027356">
        <w:rPr>
          <w:color w:val="auto"/>
        </w:rPr>
        <w:t>Timing of Complaints</w:t>
      </w:r>
      <w:r w:rsidR="008F5938" w:rsidRPr="00027356">
        <w:rPr>
          <w:color w:val="auto"/>
        </w:rPr>
        <w:t xml:space="preserve"> Received</w:t>
      </w:r>
      <w:bookmarkEnd w:id="5"/>
    </w:p>
    <w:p w14:paraId="10FC20DE" w14:textId="61BB4C87" w:rsidR="00633C91" w:rsidRDefault="00D85B95" w:rsidP="00C40415">
      <w:pPr>
        <w:pStyle w:val="ListParagraph"/>
        <w:numPr>
          <w:ilvl w:val="0"/>
          <w:numId w:val="1"/>
        </w:numPr>
        <w:spacing w:after="0" w:line="276" w:lineRule="auto"/>
      </w:pPr>
      <w:r>
        <w:t>C</w:t>
      </w:r>
      <w:r w:rsidR="00633C91">
        <w:t>omplaints were received at the foll</w:t>
      </w:r>
      <w:r w:rsidR="00D85999">
        <w:t>o</w:t>
      </w:r>
      <w:r w:rsidR="00633C91">
        <w:t xml:space="preserve">wing points during the </w:t>
      </w:r>
      <w:r>
        <w:t>2022-23</w:t>
      </w:r>
      <w:r w:rsidR="00646148">
        <w:t xml:space="preserve"> academic year</w:t>
      </w:r>
      <w:r w:rsidR="00633C91">
        <w:t>:</w:t>
      </w:r>
    </w:p>
    <w:p w14:paraId="36B09A4D" w14:textId="77777777" w:rsidR="007F0D17" w:rsidRDefault="007F0D17" w:rsidP="00C40415">
      <w:pPr>
        <w:pStyle w:val="ListParagraph"/>
        <w:spacing w:after="0" w:line="276" w:lineRule="auto"/>
        <w:ind w:left="360"/>
      </w:pPr>
    </w:p>
    <w:p w14:paraId="2825A6CF" w14:textId="2C333062" w:rsidR="005B1FC6" w:rsidRDefault="007D7E09" w:rsidP="00DB3DF3">
      <w:pPr>
        <w:pStyle w:val="ListParagraph"/>
        <w:spacing w:after="0" w:line="276" w:lineRule="auto"/>
        <w:ind w:left="360"/>
      </w:pPr>
      <w:r>
        <w:rPr>
          <w:noProof/>
        </w:rPr>
        <w:drawing>
          <wp:inline distT="0" distB="0" distL="0" distR="0" wp14:anchorId="1DEBABF8" wp14:editId="7A5CAA1D">
            <wp:extent cx="5114925" cy="1971675"/>
            <wp:effectExtent l="0" t="0" r="9525" b="9525"/>
            <wp:docPr id="1940195276" name="Chart 1">
              <a:extLst xmlns:a="http://schemas.openxmlformats.org/drawingml/2006/main">
                <a:ext uri="{FF2B5EF4-FFF2-40B4-BE49-F238E27FC236}">
                  <a16:creationId xmlns:a16="http://schemas.microsoft.com/office/drawing/2014/main" id="{355402AD-5156-7D8A-6519-015B7A8DF7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1B156A" w14:textId="228EB8BE" w:rsidR="005E6682" w:rsidRDefault="00633C91" w:rsidP="00C40415">
      <w:pPr>
        <w:pStyle w:val="ListParagraph"/>
        <w:numPr>
          <w:ilvl w:val="0"/>
          <w:numId w:val="1"/>
        </w:numPr>
        <w:spacing w:after="0" w:line="276" w:lineRule="auto"/>
      </w:pPr>
      <w:r>
        <w:lastRenderedPageBreak/>
        <w:t xml:space="preserve">As demonstrated above, </w:t>
      </w:r>
      <w:r w:rsidR="00D85B95">
        <w:t xml:space="preserve">the volume of </w:t>
      </w:r>
      <w:r>
        <w:t xml:space="preserve">complaints </w:t>
      </w:r>
      <w:r w:rsidR="00F362B2">
        <w:t>received</w:t>
      </w:r>
      <w:r>
        <w:t xml:space="preserve"> </w:t>
      </w:r>
      <w:r w:rsidR="00F362B2">
        <w:t xml:space="preserve">was relatively steady across the year, aside from a spike </w:t>
      </w:r>
      <w:r>
        <w:t xml:space="preserve">in September 2022 which can be attributed to </w:t>
      </w:r>
      <w:r w:rsidR="00F362B2">
        <w:t xml:space="preserve">a </w:t>
      </w:r>
      <w:r w:rsidR="004938C4">
        <w:t xml:space="preserve">specific </w:t>
      </w:r>
      <w:r w:rsidR="005A1670">
        <w:t xml:space="preserve">operational issue experienced at the </w:t>
      </w:r>
      <w:r w:rsidR="000E15E8">
        <w:t xml:space="preserve">start of the academic year. </w:t>
      </w:r>
    </w:p>
    <w:p w14:paraId="294638E5" w14:textId="77777777" w:rsidR="007F1FFE" w:rsidRDefault="007F1FFE" w:rsidP="00C40415">
      <w:pPr>
        <w:spacing w:after="0" w:line="276" w:lineRule="auto"/>
      </w:pPr>
    </w:p>
    <w:p w14:paraId="50C3A1B7" w14:textId="77777777" w:rsidR="008D683B" w:rsidRDefault="008D683B" w:rsidP="00C40415">
      <w:pPr>
        <w:spacing w:after="0" w:line="276" w:lineRule="auto"/>
      </w:pPr>
    </w:p>
    <w:p w14:paraId="33AD4C1E" w14:textId="031D768D" w:rsidR="005E6682" w:rsidRPr="00027356" w:rsidRDefault="005E6682" w:rsidP="00C40415">
      <w:pPr>
        <w:pStyle w:val="Heading2"/>
        <w:spacing w:before="0" w:line="276" w:lineRule="auto"/>
        <w:rPr>
          <w:color w:val="auto"/>
        </w:rPr>
      </w:pPr>
      <w:bookmarkStart w:id="6" w:name="_Toc163663726"/>
      <w:r w:rsidRPr="00027356">
        <w:rPr>
          <w:color w:val="auto"/>
        </w:rPr>
        <w:t>Categories of Complaints</w:t>
      </w:r>
      <w:bookmarkEnd w:id="6"/>
    </w:p>
    <w:p w14:paraId="1A4DEFF2" w14:textId="21600A28" w:rsidR="005E6682" w:rsidRDefault="000D4B7D" w:rsidP="00C40415">
      <w:pPr>
        <w:pStyle w:val="ListParagraph"/>
        <w:numPr>
          <w:ilvl w:val="0"/>
          <w:numId w:val="1"/>
        </w:numPr>
        <w:spacing w:after="0" w:line="276" w:lineRule="auto"/>
      </w:pPr>
      <w:r>
        <w:t>The breakdown of categories to which</w:t>
      </w:r>
      <w:r w:rsidR="00A9574A">
        <w:t xml:space="preserve"> the complaints received in 2022-23 related </w:t>
      </w:r>
      <w:r w:rsidR="00861856">
        <w:t>is as</w:t>
      </w:r>
      <w:r w:rsidR="00EA6CF6">
        <w:t xml:space="preserve"> follows:</w:t>
      </w:r>
      <w:r>
        <w:t xml:space="preserve"> </w:t>
      </w:r>
    </w:p>
    <w:p w14:paraId="5524431D" w14:textId="77777777" w:rsidR="00DB3DF3" w:rsidRDefault="00DB3DF3" w:rsidP="00DB3DF3">
      <w:pPr>
        <w:pStyle w:val="ListParagraph"/>
        <w:spacing w:after="0" w:line="276" w:lineRule="auto"/>
        <w:ind w:left="360"/>
      </w:pPr>
    </w:p>
    <w:p w14:paraId="3FF72DC3" w14:textId="32658B41" w:rsidR="00A9574A" w:rsidRPr="00D75971" w:rsidRDefault="00DB3DF3" w:rsidP="00DB3DF3">
      <w:pPr>
        <w:spacing w:after="0" w:line="276" w:lineRule="auto"/>
        <w:ind w:left="426"/>
      </w:pPr>
      <w:r>
        <w:rPr>
          <w:noProof/>
        </w:rPr>
        <w:drawing>
          <wp:inline distT="0" distB="0" distL="0" distR="0" wp14:anchorId="392DB9C3" wp14:editId="019037D3">
            <wp:extent cx="5346700" cy="3679825"/>
            <wp:effectExtent l="0" t="0" r="6350" b="15875"/>
            <wp:docPr id="716183551" name="Chart 1">
              <a:extLst xmlns:a="http://schemas.openxmlformats.org/drawingml/2006/main">
                <a:ext uri="{FF2B5EF4-FFF2-40B4-BE49-F238E27FC236}">
                  <a16:creationId xmlns:a16="http://schemas.microsoft.com/office/drawing/2014/main" id="{6FAB909A-6BD7-16EE-CD49-BC37E7E42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FAD09C" w14:textId="147ED381" w:rsidR="005E6682" w:rsidRDefault="005E6682" w:rsidP="00C40415">
      <w:pPr>
        <w:pStyle w:val="NoSpacing"/>
        <w:spacing w:line="276" w:lineRule="auto"/>
      </w:pPr>
    </w:p>
    <w:p w14:paraId="0C413492" w14:textId="44268FAD" w:rsidR="00FA21DD" w:rsidRDefault="00D0036A" w:rsidP="00FA21DD">
      <w:pPr>
        <w:pStyle w:val="ListParagraph"/>
        <w:numPr>
          <w:ilvl w:val="0"/>
          <w:numId w:val="1"/>
        </w:numPr>
        <w:spacing w:after="0" w:line="276" w:lineRule="auto"/>
      </w:pPr>
      <w:r>
        <w:t xml:space="preserve">It should be noted that student conduct concerns </w:t>
      </w:r>
      <w:r w:rsidR="00796857">
        <w:t xml:space="preserve">are generally received directly into the Student Discipline Procedure and therefore the numbers of concerns received as complaints do not represent the total number of </w:t>
      </w:r>
      <w:r w:rsidR="005B5327">
        <w:t>student conduct concerns in 2022-23.</w:t>
      </w:r>
    </w:p>
    <w:p w14:paraId="1DB26BA3" w14:textId="77777777" w:rsidR="00DB3DF3" w:rsidRDefault="00DB3DF3" w:rsidP="00DB3DF3">
      <w:pPr>
        <w:spacing w:after="0" w:line="276" w:lineRule="auto"/>
      </w:pPr>
    </w:p>
    <w:p w14:paraId="11E1A23F" w14:textId="77777777" w:rsidR="00DB3DF3" w:rsidRDefault="00DB3DF3" w:rsidP="00DB3DF3">
      <w:pPr>
        <w:spacing w:after="0" w:line="276" w:lineRule="auto"/>
      </w:pPr>
    </w:p>
    <w:p w14:paraId="78FC12D8" w14:textId="621EEF36" w:rsidR="0016155B" w:rsidRPr="00C40415" w:rsidRDefault="0016155B" w:rsidP="00C40415">
      <w:pPr>
        <w:pStyle w:val="Heading2"/>
        <w:spacing w:before="0" w:line="276" w:lineRule="auto"/>
        <w:rPr>
          <w:color w:val="auto"/>
        </w:rPr>
      </w:pPr>
      <w:bookmarkStart w:id="7" w:name="_Toc163663727"/>
      <w:r w:rsidRPr="00C40415">
        <w:rPr>
          <w:color w:val="auto"/>
        </w:rPr>
        <w:t>Complaint Category Trends</w:t>
      </w:r>
      <w:bookmarkEnd w:id="7"/>
    </w:p>
    <w:p w14:paraId="2AA306F4" w14:textId="0632C9E7" w:rsidR="00072875" w:rsidRPr="00FA757F" w:rsidRDefault="00522EEA" w:rsidP="00C40415">
      <w:pPr>
        <w:pStyle w:val="ListParagraph"/>
        <w:numPr>
          <w:ilvl w:val="0"/>
          <w:numId w:val="1"/>
        </w:numPr>
        <w:spacing w:after="0" w:line="276" w:lineRule="auto"/>
      </w:pPr>
      <w:r w:rsidRPr="00FA757F">
        <w:t xml:space="preserve">The </w:t>
      </w:r>
      <w:r w:rsidR="000435B0" w:rsidRPr="00FA757F">
        <w:t xml:space="preserve">categories of complaints </w:t>
      </w:r>
      <w:r w:rsidR="00D565AA">
        <w:t xml:space="preserve">used </w:t>
      </w:r>
      <w:r w:rsidR="000435B0" w:rsidRPr="00FA757F">
        <w:t>were revised ahead of the 2022</w:t>
      </w:r>
      <w:r w:rsidR="00360920">
        <w:t>-</w:t>
      </w:r>
      <w:r w:rsidR="000435B0" w:rsidRPr="00FA757F">
        <w:t>23 reporting period to</w:t>
      </w:r>
      <w:r w:rsidR="00E95BB2" w:rsidRPr="00FA757F">
        <w:t xml:space="preserve"> more </w:t>
      </w:r>
      <w:r w:rsidR="00BB53BB">
        <w:t>accurately</w:t>
      </w:r>
      <w:r w:rsidR="000435B0" w:rsidRPr="00FA757F">
        <w:t xml:space="preserve"> </w:t>
      </w:r>
      <w:r w:rsidR="00960D1C" w:rsidRPr="00FA757F">
        <w:t xml:space="preserve">define the </w:t>
      </w:r>
      <w:r w:rsidR="00093E39">
        <w:t>topics</w:t>
      </w:r>
      <w:r w:rsidR="001C6225" w:rsidRPr="00FA757F">
        <w:t xml:space="preserve"> of complaints received</w:t>
      </w:r>
      <w:r w:rsidR="006C0DBA" w:rsidRPr="00FA757F">
        <w:t xml:space="preserve"> (for example, </w:t>
      </w:r>
      <w:r w:rsidR="00093E39">
        <w:t>the previous category of</w:t>
      </w:r>
      <w:r w:rsidR="006C0DBA" w:rsidRPr="00FA757F">
        <w:t xml:space="preserve"> ‘Pastoral support complaints’</w:t>
      </w:r>
      <w:r w:rsidR="00093E39">
        <w:t xml:space="preserve"> was revised to</w:t>
      </w:r>
      <w:r w:rsidR="006C0DBA" w:rsidRPr="00FA757F">
        <w:t xml:space="preserve"> ‘Student support provision’)</w:t>
      </w:r>
      <w:r w:rsidR="00F806D3">
        <w:t xml:space="preserve"> </w:t>
      </w:r>
      <w:r w:rsidR="00D565AA">
        <w:t>and ensure co</w:t>
      </w:r>
      <w:r w:rsidR="000E6ABD">
        <w:t>mprehensiveness.</w:t>
      </w:r>
    </w:p>
    <w:p w14:paraId="5437D84D" w14:textId="746A93A4" w:rsidR="007F1FFE" w:rsidRDefault="007F1FFE" w:rsidP="00C40415">
      <w:pPr>
        <w:spacing w:after="0" w:line="276" w:lineRule="auto"/>
      </w:pPr>
    </w:p>
    <w:p w14:paraId="7E97D0BB" w14:textId="4AE527E2" w:rsidR="00671C0E" w:rsidRDefault="00162A04" w:rsidP="00C40415">
      <w:pPr>
        <w:pStyle w:val="ListParagraph"/>
        <w:numPr>
          <w:ilvl w:val="0"/>
          <w:numId w:val="1"/>
        </w:numPr>
        <w:spacing w:after="0" w:line="276" w:lineRule="auto"/>
      </w:pPr>
      <w:r w:rsidRPr="00FA757F">
        <w:t>In terms of the nature of the complaints received</w:t>
      </w:r>
      <w:r w:rsidR="00671C0E">
        <w:t>:</w:t>
      </w:r>
    </w:p>
    <w:p w14:paraId="77AB6013" w14:textId="04267C50" w:rsidR="00D47C26" w:rsidRPr="00A96D0D" w:rsidRDefault="00D47C26" w:rsidP="00C40415">
      <w:pPr>
        <w:pStyle w:val="ListParagraph"/>
        <w:numPr>
          <w:ilvl w:val="0"/>
          <w:numId w:val="33"/>
        </w:numPr>
        <w:spacing w:after="0" w:line="276" w:lineRule="auto"/>
      </w:pPr>
      <w:r>
        <w:t xml:space="preserve">In </w:t>
      </w:r>
      <w:r w:rsidR="007F3B1A">
        <w:t xml:space="preserve">comparison to 2021-22, in </w:t>
      </w:r>
      <w:r>
        <w:t>2022-23</w:t>
      </w:r>
      <w:r w:rsidR="00D57941">
        <w:t>:</w:t>
      </w:r>
      <w:r>
        <w:t xml:space="preserve"> there w</w:t>
      </w:r>
      <w:r w:rsidR="005C1553">
        <w:t xml:space="preserve">ere </w:t>
      </w:r>
      <w:r w:rsidR="00211CE9">
        <w:t>decreases</w:t>
      </w:r>
      <w:r w:rsidR="00D57941">
        <w:t xml:space="preserve"> </w:t>
      </w:r>
      <w:r w:rsidR="00211CE9">
        <w:t xml:space="preserve">in </w:t>
      </w:r>
      <w:r w:rsidRPr="00FA757F">
        <w:t>the number of complaints received in relation to</w:t>
      </w:r>
      <w:r w:rsidR="00D57941">
        <w:t xml:space="preserve"> </w:t>
      </w:r>
      <w:r w:rsidR="00AC4453">
        <w:t>T</w:t>
      </w:r>
      <w:r w:rsidRPr="00FA757F">
        <w:t xml:space="preserve">eaching </w:t>
      </w:r>
      <w:r>
        <w:t>or</w:t>
      </w:r>
      <w:r w:rsidRPr="00FA757F">
        <w:t xml:space="preserve"> </w:t>
      </w:r>
      <w:r w:rsidR="00AC4453">
        <w:t>A</w:t>
      </w:r>
      <w:r w:rsidRPr="00FA757F">
        <w:t xml:space="preserve">ssessment </w:t>
      </w:r>
      <w:r w:rsidR="00AC4453">
        <w:t>A</w:t>
      </w:r>
      <w:r>
        <w:t>rrangements</w:t>
      </w:r>
      <w:r w:rsidR="00D57941">
        <w:t xml:space="preserve">, </w:t>
      </w:r>
      <w:r w:rsidRPr="00FA757F">
        <w:t>an</w:t>
      </w:r>
      <w:r>
        <w:t xml:space="preserve">d </w:t>
      </w:r>
      <w:r w:rsidR="00291A12">
        <w:t xml:space="preserve">Student </w:t>
      </w:r>
      <w:r w:rsidR="00176AA5">
        <w:t>A</w:t>
      </w:r>
      <w:r w:rsidRPr="00FA757F">
        <w:t xml:space="preserve">ccommodation </w:t>
      </w:r>
      <w:r w:rsidR="00176AA5">
        <w:t>P</w:t>
      </w:r>
      <w:r w:rsidRPr="00FA757F">
        <w:t>rovision</w:t>
      </w:r>
      <w:r>
        <w:t xml:space="preserve"> and </w:t>
      </w:r>
      <w:r w:rsidR="00176AA5">
        <w:t>F</w:t>
      </w:r>
      <w:r>
        <w:t>acilities</w:t>
      </w:r>
      <w:r w:rsidR="00D57941">
        <w:t xml:space="preserve">; there were increases in the number of complaints received </w:t>
      </w:r>
      <w:r w:rsidR="00FB66B6">
        <w:t xml:space="preserve">regarding University </w:t>
      </w:r>
      <w:r w:rsidR="00AC4453">
        <w:t>P</w:t>
      </w:r>
      <w:r w:rsidR="00FB66B6">
        <w:t xml:space="preserve">olicy or </w:t>
      </w:r>
      <w:r w:rsidR="00AC4453">
        <w:t>P</w:t>
      </w:r>
      <w:r w:rsidR="00FB66B6">
        <w:t xml:space="preserve">rocedure, and </w:t>
      </w:r>
      <w:r w:rsidR="00AC4453">
        <w:t xml:space="preserve">Campus </w:t>
      </w:r>
      <w:r w:rsidR="00291284">
        <w:t>F</w:t>
      </w:r>
      <w:r w:rsidR="00BD641F">
        <w:t xml:space="preserve">acilities; whilst volumes of complaints </w:t>
      </w:r>
      <w:r w:rsidR="00324677">
        <w:t xml:space="preserve">in respect of </w:t>
      </w:r>
      <w:r w:rsidR="00823A78">
        <w:t>E</w:t>
      </w:r>
      <w:r w:rsidR="00324677">
        <w:t xml:space="preserve">quality, </w:t>
      </w:r>
      <w:r w:rsidR="00823A78">
        <w:t>D</w:t>
      </w:r>
      <w:r w:rsidR="00324677">
        <w:t xml:space="preserve">iversity and </w:t>
      </w:r>
      <w:r w:rsidR="00823A78" w:rsidRPr="00A96D0D">
        <w:t>I</w:t>
      </w:r>
      <w:r w:rsidR="00324677" w:rsidRPr="00A96D0D">
        <w:t xml:space="preserve">nclusion </w:t>
      </w:r>
      <w:r w:rsidR="00823A78" w:rsidRPr="00A96D0D">
        <w:t>C</w:t>
      </w:r>
      <w:r w:rsidR="00324677" w:rsidRPr="00A96D0D">
        <w:t xml:space="preserve">oncerns, </w:t>
      </w:r>
      <w:r w:rsidR="00045D20" w:rsidRPr="00A96D0D">
        <w:t>Accessibility,</w:t>
      </w:r>
      <w:r w:rsidR="00324677" w:rsidRPr="00A96D0D">
        <w:t xml:space="preserve"> </w:t>
      </w:r>
      <w:r w:rsidR="00823A78" w:rsidRPr="00A96D0D">
        <w:t>S</w:t>
      </w:r>
      <w:r w:rsidR="009C2264" w:rsidRPr="00A96D0D">
        <w:t xml:space="preserve">tudent </w:t>
      </w:r>
      <w:r w:rsidR="00823A78" w:rsidRPr="00A96D0D">
        <w:lastRenderedPageBreak/>
        <w:t>S</w:t>
      </w:r>
      <w:r w:rsidR="009C2264" w:rsidRPr="00A96D0D">
        <w:t xml:space="preserve">upport </w:t>
      </w:r>
      <w:r w:rsidR="00823A78" w:rsidRPr="00A96D0D">
        <w:t>P</w:t>
      </w:r>
      <w:r w:rsidR="009C2264" w:rsidRPr="00A96D0D">
        <w:t xml:space="preserve">rovision, </w:t>
      </w:r>
      <w:r w:rsidR="00823A78" w:rsidRPr="00A96D0D">
        <w:t>S</w:t>
      </w:r>
      <w:r w:rsidR="009C2264" w:rsidRPr="00A96D0D">
        <w:t xml:space="preserve">ervice </w:t>
      </w:r>
      <w:r w:rsidR="00DB1DCD">
        <w:t>Delivery</w:t>
      </w:r>
      <w:r w:rsidR="009C2264" w:rsidRPr="00A96D0D">
        <w:t xml:space="preserve">, </w:t>
      </w:r>
      <w:r w:rsidR="00823A78" w:rsidRPr="00A96D0D">
        <w:t>S</w:t>
      </w:r>
      <w:r w:rsidR="009C2264" w:rsidRPr="00A96D0D">
        <w:t xml:space="preserve">taff, </w:t>
      </w:r>
      <w:r w:rsidR="009E1CC1" w:rsidRPr="00A96D0D">
        <w:t xml:space="preserve">and </w:t>
      </w:r>
      <w:r w:rsidR="00823A78" w:rsidRPr="00A96D0D">
        <w:t>S</w:t>
      </w:r>
      <w:r w:rsidR="009C2264" w:rsidRPr="00A96D0D">
        <w:t xml:space="preserve">tudent </w:t>
      </w:r>
      <w:r w:rsidR="00823A78" w:rsidRPr="00A96D0D">
        <w:t>C</w:t>
      </w:r>
      <w:r w:rsidR="009C2264" w:rsidRPr="00A96D0D">
        <w:t>onduct</w:t>
      </w:r>
      <w:r w:rsidR="009E1CC1" w:rsidRPr="00A96D0D">
        <w:t xml:space="preserve"> remained relatively consistent.</w:t>
      </w:r>
      <w:r w:rsidRPr="00A96D0D">
        <w:t xml:space="preserve"> </w:t>
      </w:r>
      <w:r w:rsidR="008F063B" w:rsidRPr="00A96D0D">
        <w:t>There were no complaints relating to the category of Learning/Teaching Resources or Facilities</w:t>
      </w:r>
      <w:r w:rsidR="00A96D0D" w:rsidRPr="00A96D0D">
        <w:t>, which is</w:t>
      </w:r>
      <w:r w:rsidR="008F063B" w:rsidRPr="00A96D0D">
        <w:t xml:space="preserve"> a new category </w:t>
      </w:r>
      <w:r w:rsidR="00A96D0D" w:rsidRPr="00A96D0D">
        <w:t>introduced from</w:t>
      </w:r>
      <w:r w:rsidR="008F063B" w:rsidRPr="00A96D0D">
        <w:t xml:space="preserve"> 2022-23. </w:t>
      </w:r>
    </w:p>
    <w:p w14:paraId="2BB47961" w14:textId="37CAD4BE" w:rsidR="004D70BF" w:rsidRDefault="00264AC3" w:rsidP="00C40415">
      <w:pPr>
        <w:pStyle w:val="ListParagraph"/>
        <w:numPr>
          <w:ilvl w:val="0"/>
          <w:numId w:val="33"/>
        </w:numPr>
        <w:spacing w:after="0" w:line="276" w:lineRule="auto"/>
      </w:pPr>
      <w:r>
        <w:t xml:space="preserve">In respect of </w:t>
      </w:r>
      <w:r w:rsidR="00165E23">
        <w:t>T</w:t>
      </w:r>
      <w:r>
        <w:t xml:space="preserve">eaching or </w:t>
      </w:r>
      <w:r w:rsidR="00165E23">
        <w:t>A</w:t>
      </w:r>
      <w:r>
        <w:t xml:space="preserve">ssessment </w:t>
      </w:r>
      <w:r w:rsidR="00165E23">
        <w:t>A</w:t>
      </w:r>
      <w:r>
        <w:t xml:space="preserve">rrangements, </w:t>
      </w:r>
      <w:r w:rsidR="00AE2767">
        <w:t xml:space="preserve">numbers of complaints </w:t>
      </w:r>
      <w:r w:rsidR="00124AC8">
        <w:t xml:space="preserve">fell </w:t>
      </w:r>
      <w:r w:rsidR="00040E22">
        <w:t xml:space="preserve">significantly </w:t>
      </w:r>
      <w:r w:rsidR="00124AC8">
        <w:t xml:space="preserve">in 2022-23 compared to </w:t>
      </w:r>
      <w:r w:rsidR="007876FE">
        <w:t xml:space="preserve">both of </w:t>
      </w:r>
      <w:r w:rsidR="00124AC8">
        <w:t xml:space="preserve">the previous </w:t>
      </w:r>
      <w:r w:rsidR="00040E22">
        <w:t xml:space="preserve">two </w:t>
      </w:r>
      <w:r w:rsidR="00124AC8">
        <w:t>year</w:t>
      </w:r>
      <w:r w:rsidR="00040E22">
        <w:t>s</w:t>
      </w:r>
      <w:r w:rsidR="00DC2909">
        <w:t>.</w:t>
      </w:r>
      <w:r w:rsidR="00124AC8">
        <w:t xml:space="preserve"> </w:t>
      </w:r>
      <w:r w:rsidR="00EB5550">
        <w:t xml:space="preserve">In 2022-23, </w:t>
      </w:r>
      <w:r w:rsidR="00441988">
        <w:t>8</w:t>
      </w:r>
      <w:r w:rsidR="00EB5550">
        <w:t xml:space="preserve">% of the total number of complaints </w:t>
      </w:r>
      <w:r w:rsidR="00086F2D">
        <w:t xml:space="preserve">received related to </w:t>
      </w:r>
      <w:r w:rsidR="004947F0">
        <w:t>T</w:t>
      </w:r>
      <w:r w:rsidR="00086F2D">
        <w:t xml:space="preserve">eaching or </w:t>
      </w:r>
      <w:r w:rsidR="004947F0">
        <w:t>A</w:t>
      </w:r>
      <w:r w:rsidR="00086F2D">
        <w:t xml:space="preserve">ssessment </w:t>
      </w:r>
      <w:r w:rsidR="004947F0">
        <w:t>A</w:t>
      </w:r>
      <w:r w:rsidR="00086F2D">
        <w:t>rrangements</w:t>
      </w:r>
      <w:r w:rsidR="007876FE">
        <w:t>, compared to 27% in 2021-22 and 40% in 2020-21</w:t>
      </w:r>
      <w:r w:rsidR="00086F2D">
        <w:t xml:space="preserve">. </w:t>
      </w:r>
      <w:r w:rsidR="00322BE4">
        <w:t>N</w:t>
      </w:r>
      <w:r>
        <w:t xml:space="preserve">one of the complaints </w:t>
      </w:r>
      <w:r w:rsidR="00DE0F95">
        <w:t xml:space="preserve">in this category in 2022-23 </w:t>
      </w:r>
      <w:r>
        <w:t>related to the quality of teaching and learning, rather to matters such as issues experienced whilst engaging in group work, and exam conditions. The University</w:t>
      </w:r>
      <w:r w:rsidDel="00FE3F04">
        <w:t xml:space="preserve"> </w:t>
      </w:r>
      <w:r>
        <w:t>continues to reflect on concerns received from students regarding teaching</w:t>
      </w:r>
      <w:r w:rsidR="00025631">
        <w:t xml:space="preserve"> </w:t>
      </w:r>
      <w:r>
        <w:t xml:space="preserve">or assessment arrangements, and </w:t>
      </w:r>
      <w:r w:rsidR="00322BE4">
        <w:t xml:space="preserve">to </w:t>
      </w:r>
      <w:r>
        <w:t xml:space="preserve">value such complaints raised </w:t>
      </w:r>
      <w:r w:rsidR="00322BE4">
        <w:t xml:space="preserve">in </w:t>
      </w:r>
      <w:r>
        <w:t>inform</w:t>
      </w:r>
      <w:r w:rsidR="00322BE4">
        <w:t>ing</w:t>
      </w:r>
      <w:r>
        <w:t xml:space="preserve"> </w:t>
      </w:r>
      <w:r w:rsidR="00322BE4">
        <w:t xml:space="preserve">continuous </w:t>
      </w:r>
      <w:r>
        <w:t xml:space="preserve">enhancement </w:t>
      </w:r>
      <w:r w:rsidR="00322BE4">
        <w:t>of the student learning experience</w:t>
      </w:r>
      <w:r>
        <w:t xml:space="preserve">. </w:t>
      </w:r>
    </w:p>
    <w:p w14:paraId="01A93794" w14:textId="5941326D" w:rsidR="007C1D90" w:rsidRDefault="007C1D90" w:rsidP="00C40415">
      <w:pPr>
        <w:pStyle w:val="ListParagraph"/>
        <w:numPr>
          <w:ilvl w:val="0"/>
          <w:numId w:val="33"/>
        </w:numPr>
        <w:spacing w:after="0" w:line="276" w:lineRule="auto"/>
      </w:pPr>
      <w:r>
        <w:t xml:space="preserve">Members of University and College Union (UCU) participated in approximately 20 days of industrial strike action between November 2022 and March 2023, and a Marking and Assessment Boycott between April and August 2023. Whilst this industrial action was ongoing, the University received 11 </w:t>
      </w:r>
      <w:r w:rsidR="00AD16E8">
        <w:t xml:space="preserve">related </w:t>
      </w:r>
      <w:r>
        <w:t xml:space="preserve">complaints </w:t>
      </w:r>
      <w:r w:rsidR="00EB77E7">
        <w:t xml:space="preserve">through the Complaints Handling Procedure </w:t>
      </w:r>
      <w:r>
        <w:t xml:space="preserve">(&gt;4% of the complaints received in 2022-23). </w:t>
      </w:r>
    </w:p>
    <w:p w14:paraId="7BA96B4A" w14:textId="7138DDAB" w:rsidR="00EF635A" w:rsidRDefault="005D7254" w:rsidP="00DB3DF3">
      <w:pPr>
        <w:pStyle w:val="ListParagraph"/>
        <w:numPr>
          <w:ilvl w:val="0"/>
          <w:numId w:val="33"/>
        </w:numPr>
        <w:spacing w:after="0" w:line="276" w:lineRule="auto"/>
      </w:pPr>
      <w:r>
        <w:t xml:space="preserve">The number of complaints received </w:t>
      </w:r>
      <w:r w:rsidR="004F72A2">
        <w:t xml:space="preserve">regarding </w:t>
      </w:r>
      <w:r w:rsidR="00291A12">
        <w:t xml:space="preserve">Student </w:t>
      </w:r>
      <w:r w:rsidR="00165E23">
        <w:t>A</w:t>
      </w:r>
      <w:r w:rsidR="004F72A2">
        <w:t xml:space="preserve">ccommodation </w:t>
      </w:r>
      <w:r w:rsidR="00165E23">
        <w:t>P</w:t>
      </w:r>
      <w:r w:rsidR="004F72A2">
        <w:t xml:space="preserve">rovision and </w:t>
      </w:r>
      <w:r w:rsidR="00165E23">
        <w:t>F</w:t>
      </w:r>
      <w:r w:rsidR="004F72A2">
        <w:t xml:space="preserve">acilities decreased by </w:t>
      </w:r>
      <w:r w:rsidR="00192564">
        <w:t>almost 50</w:t>
      </w:r>
      <w:r w:rsidR="004F72A2">
        <w:t>% in 2022-23 compared to the previous year</w:t>
      </w:r>
      <w:r w:rsidR="000B2C8E">
        <w:t>, positively reflecting ongoing</w:t>
      </w:r>
      <w:r w:rsidR="001B7958">
        <w:t>, continuous improvement and focus on the student experience.</w:t>
      </w:r>
      <w:r w:rsidR="00C64D1F">
        <w:t xml:space="preserve"> In 2021-22, almost 10% of all complaints received related to student accommodation whilst in 2022-23, this proportion fell to </w:t>
      </w:r>
      <w:r w:rsidR="00C46794">
        <w:t>approximately 3.5%.</w:t>
      </w:r>
    </w:p>
    <w:p w14:paraId="2481AF80" w14:textId="2D06DF18" w:rsidR="00883E0E" w:rsidRDefault="009D7F44" w:rsidP="00C40415">
      <w:pPr>
        <w:pStyle w:val="ListParagraph"/>
        <w:numPr>
          <w:ilvl w:val="0"/>
          <w:numId w:val="33"/>
        </w:numPr>
        <w:spacing w:after="0" w:line="276" w:lineRule="auto"/>
      </w:pPr>
      <w:r>
        <w:t>There was</w:t>
      </w:r>
      <w:r w:rsidR="00162A04" w:rsidRPr="00FA757F">
        <w:t xml:space="preserve"> a</w:t>
      </w:r>
      <w:r w:rsidR="00932B52">
        <w:t xml:space="preserve"> significant, three-fold, </w:t>
      </w:r>
      <w:r w:rsidR="006E3D13" w:rsidRPr="00FA757F">
        <w:t>increase</w:t>
      </w:r>
      <w:r w:rsidR="00756AA7">
        <w:t xml:space="preserve"> </w:t>
      </w:r>
      <w:r w:rsidR="006E3D13" w:rsidRPr="00FA757F">
        <w:t>in the number of complaints received in relation to</w:t>
      </w:r>
      <w:r w:rsidR="00883E0E">
        <w:t xml:space="preserve"> </w:t>
      </w:r>
      <w:r w:rsidR="006E3D13" w:rsidRPr="00FA757F">
        <w:t xml:space="preserve">University policy </w:t>
      </w:r>
      <w:r w:rsidR="008875CD">
        <w:t>or</w:t>
      </w:r>
      <w:r w:rsidR="006E3D13" w:rsidRPr="00FA757F">
        <w:t xml:space="preserve"> procedure</w:t>
      </w:r>
      <w:r w:rsidR="007B7B9A">
        <w:t xml:space="preserve"> in 2022-23 compared to the previous year</w:t>
      </w:r>
      <w:r w:rsidR="008875CD">
        <w:t>.</w:t>
      </w:r>
      <w:r w:rsidR="00883E0E">
        <w:t xml:space="preserve"> </w:t>
      </w:r>
      <w:r w:rsidR="00D34CE9">
        <w:t>3</w:t>
      </w:r>
      <w:r w:rsidR="00694592">
        <w:t>8</w:t>
      </w:r>
      <w:r w:rsidR="00D34CE9">
        <w:t xml:space="preserve">% of all complaints received in 2022-23 </w:t>
      </w:r>
      <w:r w:rsidR="00AA1C8F">
        <w:t xml:space="preserve">related to this category. </w:t>
      </w:r>
      <w:r w:rsidR="00883E0E">
        <w:t xml:space="preserve">This was linked to </w:t>
      </w:r>
      <w:r w:rsidR="000615D7">
        <w:t xml:space="preserve">unprecedented volumes of </w:t>
      </w:r>
      <w:r w:rsidR="00340316">
        <w:t xml:space="preserve">activity </w:t>
      </w:r>
      <w:r w:rsidR="000615D7">
        <w:t xml:space="preserve">at the </w:t>
      </w:r>
      <w:r w:rsidR="0083424F">
        <w:t>beginning of the academic year</w:t>
      </w:r>
      <w:r w:rsidR="000615D7">
        <w:t xml:space="preserve"> and consequently, a small proportion of students unfortunately </w:t>
      </w:r>
      <w:r w:rsidR="0083424F">
        <w:t xml:space="preserve">having </w:t>
      </w:r>
      <w:r w:rsidR="000615D7">
        <w:t xml:space="preserve">faced delays in </w:t>
      </w:r>
      <w:r w:rsidR="00CE21F3">
        <w:t xml:space="preserve">completing their enrolment or </w:t>
      </w:r>
      <w:r w:rsidR="000615D7">
        <w:t xml:space="preserve">receiving responses to requests </w:t>
      </w:r>
      <w:r w:rsidR="00CE21F3">
        <w:t>related to this</w:t>
      </w:r>
      <w:r w:rsidR="000615D7">
        <w:t>. T</w:t>
      </w:r>
      <w:r w:rsidR="0083424F">
        <w:t>he relevant University t</w:t>
      </w:r>
      <w:r w:rsidR="000615D7">
        <w:t xml:space="preserve">eams worked hard to ensure that </w:t>
      </w:r>
      <w:r w:rsidR="0083424F">
        <w:t>the situation was resolved as quickly as possible</w:t>
      </w:r>
      <w:r w:rsidR="000615D7">
        <w:t xml:space="preserve">. In line with continuous improvement, </w:t>
      </w:r>
      <w:r w:rsidR="00716A98">
        <w:t xml:space="preserve">reflection has been undertaken </w:t>
      </w:r>
      <w:r w:rsidR="000615D7">
        <w:t xml:space="preserve">upon the issues and challenges, and feedback received, in order </w:t>
      </w:r>
      <w:r w:rsidR="00716A98">
        <w:t>to</w:t>
      </w:r>
      <w:r w:rsidR="000615D7">
        <w:t xml:space="preserve"> improve services offered moving forward.</w:t>
      </w:r>
    </w:p>
    <w:p w14:paraId="30CFEAF7" w14:textId="56F7BF8F" w:rsidR="00DB3DF3" w:rsidRDefault="00C46794" w:rsidP="00AC06C0">
      <w:pPr>
        <w:pStyle w:val="ListParagraph"/>
        <w:numPr>
          <w:ilvl w:val="0"/>
          <w:numId w:val="33"/>
        </w:numPr>
        <w:spacing w:after="0" w:line="276" w:lineRule="auto"/>
      </w:pPr>
      <w:r w:rsidRPr="00EC58C7">
        <w:t xml:space="preserve">Numbers of complaints regarding </w:t>
      </w:r>
      <w:r w:rsidR="00C80C11">
        <w:t xml:space="preserve">Campus </w:t>
      </w:r>
      <w:r w:rsidRPr="00EC58C7">
        <w:t xml:space="preserve">Facilities </w:t>
      </w:r>
      <w:r w:rsidR="00A10588" w:rsidRPr="00EC58C7">
        <w:t xml:space="preserve">increased </w:t>
      </w:r>
      <w:r w:rsidR="007C7E10" w:rsidRPr="00EC58C7">
        <w:t>in 2022-23 compared to the previous year</w:t>
      </w:r>
      <w:r w:rsidR="00BB75D6" w:rsidRPr="00EC58C7">
        <w:t xml:space="preserve">. In 2022-23, </w:t>
      </w:r>
      <w:r w:rsidR="009D4674" w:rsidRPr="00EC58C7">
        <w:t xml:space="preserve">8.9% of all complaints related to the </w:t>
      </w:r>
      <w:r w:rsidR="00C80C11">
        <w:t xml:space="preserve">Campus </w:t>
      </w:r>
      <w:r w:rsidR="009D4674" w:rsidRPr="00EC58C7">
        <w:t xml:space="preserve">Facilities category, compared to 3.5% in 2021-22. </w:t>
      </w:r>
      <w:r w:rsidR="00AC25FA" w:rsidRPr="00EC58C7">
        <w:t xml:space="preserve">The majority of complaints received </w:t>
      </w:r>
      <w:r w:rsidR="009D4674" w:rsidRPr="00EC58C7">
        <w:t>in 202</w:t>
      </w:r>
      <w:r w:rsidR="00EC58C7" w:rsidRPr="00EC58C7">
        <w:t xml:space="preserve">2-23 </w:t>
      </w:r>
      <w:r w:rsidR="00AC25FA" w:rsidRPr="00EC58C7">
        <w:t xml:space="preserve">were in relation to car parking. In line with the increasing student population, there has been a corresponding increase in demand for car parking.  Whilst car parking provision has </w:t>
      </w:r>
      <w:r w:rsidR="00CE21F3">
        <w:t xml:space="preserve">already </w:t>
      </w:r>
      <w:r w:rsidR="00AC25FA" w:rsidRPr="00EC58C7">
        <w:t xml:space="preserve">increased substantially to </w:t>
      </w:r>
      <w:r w:rsidR="00CE21F3">
        <w:t xml:space="preserve">take account of </w:t>
      </w:r>
      <w:r w:rsidR="00AC25FA">
        <w:t>increased demand, the University continues to reflect on the concerns raised through complaints in order to improve the facilities offered to our community.</w:t>
      </w:r>
    </w:p>
    <w:p w14:paraId="47FD9E40" w14:textId="2E9B1419" w:rsidR="008000F6" w:rsidRDefault="00836E74" w:rsidP="00DC27B4">
      <w:pPr>
        <w:pStyle w:val="ListParagraph"/>
        <w:numPr>
          <w:ilvl w:val="0"/>
          <w:numId w:val="33"/>
        </w:numPr>
        <w:spacing w:after="0" w:line="276" w:lineRule="auto"/>
      </w:pPr>
      <w:r>
        <w:t xml:space="preserve">In 2022-23, </w:t>
      </w:r>
      <w:r w:rsidRPr="00B11484">
        <w:t>complaints received regarding Service Delivery accounted for 20.5% of all complaints</w:t>
      </w:r>
      <w:r w:rsidR="009813FC">
        <w:t xml:space="preserve"> and related to a</w:t>
      </w:r>
      <w:r w:rsidR="00AA1691">
        <w:t xml:space="preserve"> wide range of </w:t>
      </w:r>
      <w:r w:rsidR="009813FC">
        <w:t xml:space="preserve">matters </w:t>
      </w:r>
      <w:r w:rsidR="00AC06C0">
        <w:t xml:space="preserve">in line with the diverse range of University activity and service provision. </w:t>
      </w:r>
    </w:p>
    <w:p w14:paraId="33A4995F" w14:textId="77777777" w:rsidR="00FA21DD" w:rsidRPr="00F53F7A" w:rsidRDefault="00FA21DD" w:rsidP="00C40415">
      <w:pPr>
        <w:spacing w:after="0" w:line="276" w:lineRule="auto"/>
      </w:pPr>
    </w:p>
    <w:p w14:paraId="0668BC17" w14:textId="072BBCD7" w:rsidR="000E15E8" w:rsidRPr="00013F79" w:rsidRDefault="000E15E8" w:rsidP="00C40415">
      <w:pPr>
        <w:pStyle w:val="Heading2"/>
        <w:spacing w:before="0" w:line="276" w:lineRule="auto"/>
        <w:rPr>
          <w:color w:val="auto"/>
        </w:rPr>
      </w:pPr>
      <w:bookmarkStart w:id="8" w:name="_Toc163663728"/>
      <w:r w:rsidRPr="00013F79">
        <w:rPr>
          <w:color w:val="auto"/>
        </w:rPr>
        <w:lastRenderedPageBreak/>
        <w:t>Complaint Response</w:t>
      </w:r>
      <w:r w:rsidR="00BA71B0" w:rsidRPr="00013F79">
        <w:rPr>
          <w:color w:val="auto"/>
        </w:rPr>
        <w:t>s</w:t>
      </w:r>
      <w:bookmarkEnd w:id="8"/>
    </w:p>
    <w:p w14:paraId="7B047C78" w14:textId="79220327" w:rsidR="000E15E8" w:rsidRDefault="000E15E8" w:rsidP="00C40415">
      <w:pPr>
        <w:pStyle w:val="ListParagraph"/>
        <w:numPr>
          <w:ilvl w:val="0"/>
          <w:numId w:val="1"/>
        </w:numPr>
        <w:spacing w:after="0" w:line="276" w:lineRule="auto"/>
      </w:pPr>
      <w:r>
        <w:t xml:space="preserve">The University aims to resolve Stage One, frontline complaints within five working days, and Stage Two complaints within 20 working days in line with </w:t>
      </w:r>
      <w:r w:rsidR="002160F7">
        <w:t>the</w:t>
      </w:r>
      <w:r>
        <w:t xml:space="preserve"> Complaints Handling Procedure.</w:t>
      </w:r>
    </w:p>
    <w:p w14:paraId="09319B27" w14:textId="77777777" w:rsidR="000F23A1" w:rsidRDefault="000F23A1" w:rsidP="00C40415">
      <w:pPr>
        <w:pStyle w:val="ListParagraph"/>
        <w:spacing w:after="0" w:line="276" w:lineRule="auto"/>
        <w:ind w:left="360"/>
      </w:pPr>
    </w:p>
    <w:p w14:paraId="7B2CFBB7" w14:textId="2B5FAF3A" w:rsidR="000F23A1" w:rsidRDefault="000F23A1" w:rsidP="00C40415">
      <w:pPr>
        <w:pStyle w:val="ListParagraph"/>
        <w:numPr>
          <w:ilvl w:val="0"/>
          <w:numId w:val="1"/>
        </w:numPr>
        <w:spacing w:after="0" w:line="276" w:lineRule="auto"/>
      </w:pPr>
      <w:r>
        <w:t>In addition, the University is proactive in seeking to resolve complaints</w:t>
      </w:r>
      <w:r w:rsidR="003D5B4D">
        <w:t xml:space="preserve">, </w:t>
      </w:r>
      <w:r>
        <w:t xml:space="preserve">in keeping with </w:t>
      </w:r>
      <w:hyperlink r:id="rId16">
        <w:r w:rsidRPr="63A42D9F">
          <w:rPr>
            <w:rStyle w:val="Hyperlink"/>
          </w:rPr>
          <w:t>SPSO Good practice guidance</w:t>
        </w:r>
      </w:hyperlink>
      <w:r>
        <w:t>.</w:t>
      </w:r>
    </w:p>
    <w:p w14:paraId="7A01D375" w14:textId="77777777" w:rsidR="00FA302A" w:rsidRDefault="00FA302A" w:rsidP="00C40415">
      <w:pPr>
        <w:pStyle w:val="ListParagraph"/>
        <w:spacing w:after="0" w:line="276" w:lineRule="auto"/>
        <w:ind w:left="360"/>
      </w:pPr>
    </w:p>
    <w:p w14:paraId="189DB96D" w14:textId="77777777" w:rsidR="00D24032" w:rsidRDefault="00FA302A" w:rsidP="00C40415">
      <w:pPr>
        <w:pStyle w:val="ListParagraph"/>
        <w:numPr>
          <w:ilvl w:val="0"/>
          <w:numId w:val="1"/>
        </w:numPr>
        <w:spacing w:after="0" w:line="276" w:lineRule="auto"/>
      </w:pPr>
      <w:r>
        <w:t xml:space="preserve">As experienced across the Higher Education and other sectors, </w:t>
      </w:r>
      <w:r w:rsidR="00C35DCC">
        <w:t xml:space="preserve">complaints handling timelines were impacted by the Covid-19 pandemic and </w:t>
      </w:r>
      <w:r w:rsidR="00F3726C">
        <w:t xml:space="preserve">the University continues to work </w:t>
      </w:r>
      <w:r w:rsidR="00506DDD">
        <w:t xml:space="preserve">hard to fully </w:t>
      </w:r>
      <w:r w:rsidR="00276498">
        <w:t>address and respond to all complaints</w:t>
      </w:r>
      <w:r w:rsidR="00D24032">
        <w:t xml:space="preserve"> in a robust manner as quickly as possible. </w:t>
      </w:r>
    </w:p>
    <w:p w14:paraId="75DF5932" w14:textId="77777777" w:rsidR="00D24032" w:rsidRDefault="00D24032" w:rsidP="00C40415">
      <w:pPr>
        <w:pStyle w:val="ListParagraph"/>
        <w:spacing w:after="0" w:line="276" w:lineRule="auto"/>
      </w:pPr>
    </w:p>
    <w:p w14:paraId="2329F63B" w14:textId="40B69FD5" w:rsidR="00FA302A" w:rsidRDefault="00D24032" w:rsidP="00C40415">
      <w:pPr>
        <w:pStyle w:val="ListParagraph"/>
        <w:numPr>
          <w:ilvl w:val="0"/>
          <w:numId w:val="1"/>
        </w:numPr>
        <w:spacing w:after="0" w:line="276" w:lineRule="auto"/>
      </w:pPr>
      <w:r>
        <w:t xml:space="preserve">The increases in the volume </w:t>
      </w:r>
      <w:r w:rsidR="00CA5FC9">
        <w:t xml:space="preserve">and complexity </w:t>
      </w:r>
      <w:r>
        <w:t>of</w:t>
      </w:r>
      <w:r w:rsidR="00CA5FC9">
        <w:t xml:space="preserve"> complaints </w:t>
      </w:r>
      <w:r w:rsidR="00213601">
        <w:t>that is referenced in the section on ‘Complaints Received’</w:t>
      </w:r>
      <w:r w:rsidR="007900DE">
        <w:t>,</w:t>
      </w:r>
      <w:r w:rsidR="00213601">
        <w:t xml:space="preserve"> sets out context in which</w:t>
      </w:r>
      <w:r w:rsidR="009B7182">
        <w:t xml:space="preserve"> the University’s complaints handling </w:t>
      </w:r>
      <w:r w:rsidR="007900DE">
        <w:t>took place in 2022-23.</w:t>
      </w:r>
      <w:r w:rsidR="005923AA">
        <w:t xml:space="preserve"> </w:t>
      </w:r>
      <w:r w:rsidR="008C17B9">
        <w:t>Complaint response timelines achieved were as follows</w:t>
      </w:r>
      <w:r w:rsidR="0016183A">
        <w:t>:</w:t>
      </w:r>
      <w:r w:rsidR="00C35DCC">
        <w:t xml:space="preserve"> </w:t>
      </w:r>
    </w:p>
    <w:p w14:paraId="7627F7AF" w14:textId="77777777" w:rsidR="000E15E8" w:rsidRDefault="000E15E8" w:rsidP="00C40415">
      <w:pPr>
        <w:pStyle w:val="ListParagraph"/>
        <w:spacing w:after="0" w:line="276" w:lineRule="auto"/>
        <w:ind w:left="360"/>
      </w:pPr>
    </w:p>
    <w:p w14:paraId="591559A0" w14:textId="6850E6E4" w:rsidR="000E15E8" w:rsidRPr="00B130A7" w:rsidRDefault="000E15E8" w:rsidP="00C40415">
      <w:pPr>
        <w:pStyle w:val="ListParagraph"/>
        <w:numPr>
          <w:ilvl w:val="0"/>
          <w:numId w:val="28"/>
        </w:numPr>
        <w:spacing w:after="0" w:line="276" w:lineRule="auto"/>
        <w:ind w:left="993" w:hanging="426"/>
        <w:rPr>
          <w:b/>
        </w:rPr>
      </w:pPr>
      <w:r w:rsidRPr="02984D34">
        <w:rPr>
          <w:b/>
          <w:bCs/>
        </w:rPr>
        <w:t>115 (53%)</w:t>
      </w:r>
      <w:r>
        <w:t xml:space="preserve"> of complaints responded to in full</w:t>
      </w:r>
      <w:r w:rsidR="00B07A9B">
        <w:t xml:space="preserve"> </w:t>
      </w:r>
      <w:r>
        <w:t xml:space="preserve">at </w:t>
      </w:r>
      <w:r w:rsidR="00B07A9B">
        <w:t>S</w:t>
      </w:r>
      <w:r>
        <w:t xml:space="preserve">tage 1 </w:t>
      </w:r>
      <w:r w:rsidR="00B07A9B">
        <w:t xml:space="preserve">were closed in full </w:t>
      </w:r>
      <w:r>
        <w:t xml:space="preserve">within 5 working days. The </w:t>
      </w:r>
      <w:r w:rsidRPr="02984D34">
        <w:rPr>
          <w:b/>
          <w:bCs/>
        </w:rPr>
        <w:t>average</w:t>
      </w:r>
      <w:r>
        <w:t xml:space="preserve"> time taken to respond to complaints handled at </w:t>
      </w:r>
      <w:r w:rsidR="00B07A9B">
        <w:t>S</w:t>
      </w:r>
      <w:r>
        <w:t xml:space="preserve">tage 1 was </w:t>
      </w:r>
      <w:r w:rsidRPr="02984D34">
        <w:rPr>
          <w:b/>
          <w:bCs/>
        </w:rPr>
        <w:t>26 working days</w:t>
      </w:r>
      <w:r>
        <w:t>.</w:t>
      </w:r>
    </w:p>
    <w:p w14:paraId="231C46F0" w14:textId="449A4ECD" w:rsidR="000E15E8" w:rsidRDefault="000E15E8" w:rsidP="00C40415">
      <w:pPr>
        <w:pStyle w:val="ListParagraph"/>
        <w:numPr>
          <w:ilvl w:val="0"/>
          <w:numId w:val="28"/>
        </w:numPr>
        <w:spacing w:after="0" w:line="276" w:lineRule="auto"/>
        <w:ind w:left="993" w:hanging="426"/>
      </w:pPr>
      <w:r w:rsidRPr="00B065D0">
        <w:rPr>
          <w:b/>
          <w:bCs/>
        </w:rPr>
        <w:t>9 (31%)</w:t>
      </w:r>
      <w:r>
        <w:t xml:space="preserve"> of complaints responded to in full at </w:t>
      </w:r>
      <w:r w:rsidR="00B07A9B">
        <w:t>S</w:t>
      </w:r>
      <w:r>
        <w:t xml:space="preserve">tage 2 </w:t>
      </w:r>
      <w:r w:rsidR="00B07A9B">
        <w:t xml:space="preserve">were closed </w:t>
      </w:r>
      <w:r>
        <w:t xml:space="preserve">within 20 working days. The </w:t>
      </w:r>
      <w:r w:rsidRPr="00F35EEE">
        <w:rPr>
          <w:b/>
          <w:bCs/>
        </w:rPr>
        <w:t>average</w:t>
      </w:r>
      <w:r>
        <w:t xml:space="preserve"> time taken to respond to complaints handled at </w:t>
      </w:r>
      <w:r w:rsidR="00B07A9B">
        <w:t>S</w:t>
      </w:r>
      <w:r>
        <w:t xml:space="preserve">tage 2 was </w:t>
      </w:r>
      <w:r>
        <w:rPr>
          <w:b/>
          <w:bCs/>
        </w:rPr>
        <w:t>109 working days</w:t>
      </w:r>
      <w:r>
        <w:t>.</w:t>
      </w:r>
    </w:p>
    <w:p w14:paraId="0E1D2BED" w14:textId="3EBC35A3" w:rsidR="000E15E8" w:rsidRDefault="000E15E8" w:rsidP="00C40415">
      <w:pPr>
        <w:pStyle w:val="ListParagraph"/>
        <w:numPr>
          <w:ilvl w:val="0"/>
          <w:numId w:val="28"/>
        </w:numPr>
        <w:spacing w:after="0" w:line="276" w:lineRule="auto"/>
        <w:ind w:left="993" w:hanging="426"/>
      </w:pPr>
      <w:r>
        <w:t xml:space="preserve">No complaints responded to in full </w:t>
      </w:r>
      <w:r w:rsidR="000F588A">
        <w:t xml:space="preserve">were </w:t>
      </w:r>
      <w:r>
        <w:t xml:space="preserve">closed in full after escalation within 20 working days. The average time taken to respond to complaints escalated from </w:t>
      </w:r>
      <w:r w:rsidR="00B07A9B">
        <w:t>S</w:t>
      </w:r>
      <w:r>
        <w:t xml:space="preserve">tage 1 to </w:t>
      </w:r>
      <w:r w:rsidR="00B07A9B">
        <w:t>S</w:t>
      </w:r>
      <w:r>
        <w:t xml:space="preserve">tage 2 was </w:t>
      </w:r>
      <w:r w:rsidRPr="02984D34">
        <w:rPr>
          <w:b/>
          <w:bCs/>
        </w:rPr>
        <w:t>89 working days</w:t>
      </w:r>
      <w:r>
        <w:t>.</w:t>
      </w:r>
    </w:p>
    <w:p w14:paraId="3EF38AC4" w14:textId="77777777" w:rsidR="00DB3DF3" w:rsidRDefault="00DB3DF3" w:rsidP="00DB3DF3">
      <w:pPr>
        <w:pStyle w:val="ListParagraph"/>
        <w:spacing w:after="0" w:line="276" w:lineRule="auto"/>
        <w:ind w:left="993"/>
      </w:pPr>
    </w:p>
    <w:p w14:paraId="4E7E5C98" w14:textId="14640DF4" w:rsidR="008D683B" w:rsidRDefault="00DD1E39" w:rsidP="00C40415">
      <w:pPr>
        <w:pStyle w:val="ListParagraph"/>
        <w:numPr>
          <w:ilvl w:val="0"/>
          <w:numId w:val="1"/>
        </w:numPr>
        <w:spacing w:after="0" w:line="276" w:lineRule="auto"/>
      </w:pPr>
      <w:r>
        <w:t xml:space="preserve">Where a complaint was not fully responded to within the specified </w:t>
      </w:r>
      <w:r w:rsidR="00503CA2">
        <w:t xml:space="preserve">timeline, the University sought to ensure that complainants were kept up to date with the progress of their complaint and that communication remained open with the complainant. </w:t>
      </w:r>
      <w:r w:rsidR="000E15E8">
        <w:t xml:space="preserve"> </w:t>
      </w:r>
    </w:p>
    <w:p w14:paraId="1B56F69B" w14:textId="77777777" w:rsidR="002E7D7E" w:rsidRDefault="002E7D7E" w:rsidP="002E7D7E">
      <w:pPr>
        <w:pStyle w:val="ListParagraph"/>
        <w:spacing w:after="0" w:line="276" w:lineRule="auto"/>
        <w:ind w:left="360"/>
      </w:pPr>
    </w:p>
    <w:p w14:paraId="53DEADDB" w14:textId="5EA9DBD0" w:rsidR="008D683B" w:rsidRDefault="0016183A" w:rsidP="00C40415">
      <w:pPr>
        <w:pStyle w:val="ListParagraph"/>
        <w:numPr>
          <w:ilvl w:val="0"/>
          <w:numId w:val="1"/>
        </w:numPr>
        <w:spacing w:after="0" w:line="276" w:lineRule="auto"/>
      </w:pPr>
      <w:r>
        <w:t xml:space="preserve">The University has recognised the increases being experienced </w:t>
      </w:r>
      <w:r w:rsidR="00782670">
        <w:t xml:space="preserve">in complaint volume and complexity </w:t>
      </w:r>
      <w:r w:rsidR="001E0B10">
        <w:t xml:space="preserve">levels </w:t>
      </w:r>
      <w:r w:rsidR="00782670">
        <w:t xml:space="preserve">and has made significant </w:t>
      </w:r>
      <w:r w:rsidR="004631A5">
        <w:t xml:space="preserve">internal </w:t>
      </w:r>
      <w:r w:rsidR="00782670">
        <w:t xml:space="preserve">investment to bring capacity for complaints handling in line with </w:t>
      </w:r>
      <w:r w:rsidR="002E0341">
        <w:t>these emerging levels</w:t>
      </w:r>
      <w:r w:rsidR="001E0B10">
        <w:t>. A new, dedicated Student Conduct and Casework team has been established as part of the Academic Registry department</w:t>
      </w:r>
      <w:r w:rsidR="00CA4BBD">
        <w:t xml:space="preserve">, creating an increase in staff capacity of approximately </w:t>
      </w:r>
      <w:r w:rsidR="009B137D">
        <w:t>225%</w:t>
      </w:r>
      <w:r w:rsidR="00E525D1">
        <w:t xml:space="preserve">, and a resilience to enable </w:t>
      </w:r>
      <w:r w:rsidR="00763A3A">
        <w:t xml:space="preserve">effective operational delivery, </w:t>
      </w:r>
      <w:r w:rsidR="002D6CA2">
        <w:t xml:space="preserve">customer responsiveness and </w:t>
      </w:r>
      <w:r w:rsidR="00763A3A">
        <w:t>business continuity</w:t>
      </w:r>
      <w:r w:rsidR="002D6CA2">
        <w:t>.</w:t>
      </w:r>
      <w:r w:rsidR="00763A3A">
        <w:t xml:space="preserve"> </w:t>
      </w:r>
    </w:p>
    <w:p w14:paraId="2251402D" w14:textId="77777777" w:rsidR="008D683B" w:rsidRDefault="008D683B" w:rsidP="00C40415">
      <w:pPr>
        <w:spacing w:after="0" w:line="276" w:lineRule="auto"/>
      </w:pPr>
    </w:p>
    <w:p w14:paraId="1FD340B6" w14:textId="77777777" w:rsidR="008D683B" w:rsidRDefault="008D683B" w:rsidP="00C40415">
      <w:pPr>
        <w:spacing w:after="0" w:line="276" w:lineRule="auto"/>
      </w:pPr>
    </w:p>
    <w:p w14:paraId="3B2DD040" w14:textId="68A643BA" w:rsidR="000E15E8" w:rsidRPr="00013F79" w:rsidRDefault="000E15E8" w:rsidP="00C40415">
      <w:pPr>
        <w:pStyle w:val="Heading2"/>
        <w:spacing w:before="0" w:line="276" w:lineRule="auto"/>
        <w:rPr>
          <w:color w:val="auto"/>
        </w:rPr>
      </w:pPr>
      <w:bookmarkStart w:id="9" w:name="_Toc163663729"/>
      <w:r w:rsidRPr="00013F79">
        <w:rPr>
          <w:color w:val="auto"/>
        </w:rPr>
        <w:t xml:space="preserve">Complaint </w:t>
      </w:r>
      <w:r w:rsidR="007E7D4F" w:rsidRPr="00013F79">
        <w:rPr>
          <w:color w:val="auto"/>
        </w:rPr>
        <w:t>O</w:t>
      </w:r>
      <w:r w:rsidRPr="00013F79">
        <w:rPr>
          <w:color w:val="auto"/>
        </w:rPr>
        <w:t>utcomes</w:t>
      </w:r>
      <w:bookmarkEnd w:id="9"/>
    </w:p>
    <w:p w14:paraId="1BAA672C" w14:textId="07D7AB6D" w:rsidR="00104060" w:rsidRPr="00104060" w:rsidRDefault="000E15E8" w:rsidP="00C40415">
      <w:pPr>
        <w:pStyle w:val="ListParagraph"/>
        <w:numPr>
          <w:ilvl w:val="0"/>
          <w:numId w:val="1"/>
        </w:numPr>
        <w:spacing w:after="0" w:line="276" w:lineRule="auto"/>
        <w:rPr>
          <w:b/>
          <w:bCs/>
        </w:rPr>
      </w:pPr>
      <w:r>
        <w:t xml:space="preserve">There are four </w:t>
      </w:r>
      <w:r w:rsidR="00CD72B5">
        <w:t xml:space="preserve">complaint </w:t>
      </w:r>
      <w:r>
        <w:t>outcome categories</w:t>
      </w:r>
      <w:r w:rsidR="00CD72B5">
        <w:t xml:space="preserve"> available</w:t>
      </w:r>
      <w:r>
        <w:t xml:space="preserve">: resolved, upheld, </w:t>
      </w:r>
      <w:r w:rsidR="00A67440">
        <w:t xml:space="preserve">partially </w:t>
      </w:r>
      <w:r>
        <w:t>upheld, or not upheld.</w:t>
      </w:r>
      <w:r w:rsidR="006435F4">
        <w:t xml:space="preserve"> </w:t>
      </w:r>
    </w:p>
    <w:p w14:paraId="2EA85813" w14:textId="77777777" w:rsidR="00104060" w:rsidRPr="00104060" w:rsidRDefault="00104060" w:rsidP="00C40415">
      <w:pPr>
        <w:pStyle w:val="ListParagraph"/>
        <w:spacing w:after="0" w:line="276" w:lineRule="auto"/>
        <w:ind w:left="360"/>
        <w:rPr>
          <w:b/>
          <w:bCs/>
        </w:rPr>
      </w:pPr>
    </w:p>
    <w:p w14:paraId="3EE1F3E9" w14:textId="43FB89E6" w:rsidR="000E15E8" w:rsidRPr="008D683B" w:rsidRDefault="004C09BC" w:rsidP="00C40415">
      <w:pPr>
        <w:pStyle w:val="ListParagraph"/>
        <w:numPr>
          <w:ilvl w:val="0"/>
          <w:numId w:val="1"/>
        </w:numPr>
        <w:spacing w:after="0" w:line="276" w:lineRule="auto"/>
        <w:rPr>
          <w:b/>
          <w:bCs/>
        </w:rPr>
      </w:pPr>
      <w:r>
        <w:t xml:space="preserve">Complaints where the outcome </w:t>
      </w:r>
      <w:r w:rsidR="00785B67">
        <w:t xml:space="preserve">is </w:t>
      </w:r>
      <w:r w:rsidR="00EF431E">
        <w:t>that the complaint is</w:t>
      </w:r>
      <w:r>
        <w:t xml:space="preserve"> ‘upheld’ or ‘</w:t>
      </w:r>
      <w:r w:rsidR="00AA0D17">
        <w:t>partially</w:t>
      </w:r>
      <w:r w:rsidR="00A67440">
        <w:t xml:space="preserve"> </w:t>
      </w:r>
      <w:r>
        <w:t xml:space="preserve">upheld’ are those where </w:t>
      </w:r>
      <w:r w:rsidR="00EF431E">
        <w:t>the University identified</w:t>
      </w:r>
      <w:r>
        <w:t xml:space="preserve"> that something </w:t>
      </w:r>
      <w:r w:rsidR="00EF431E">
        <w:t xml:space="preserve">had gone </w:t>
      </w:r>
      <w:r>
        <w:t>wr</w:t>
      </w:r>
      <w:r w:rsidR="00AE45AD">
        <w:t>ong.</w:t>
      </w:r>
      <w:r w:rsidR="003A3241">
        <w:t xml:space="preserve"> Complaints where the outcome was ‘not upheld’ </w:t>
      </w:r>
      <w:r w:rsidR="00740084">
        <w:t xml:space="preserve">may </w:t>
      </w:r>
      <w:r w:rsidR="009E72B7">
        <w:t xml:space="preserve">remain helpful to inform service improvement, and recommendations are sometimes still made although </w:t>
      </w:r>
      <w:r w:rsidR="00740084">
        <w:t>a</w:t>
      </w:r>
      <w:r w:rsidR="009E72B7">
        <w:t xml:space="preserve"> complaint </w:t>
      </w:r>
      <w:r w:rsidR="00117AE5">
        <w:t xml:space="preserve">has </w:t>
      </w:r>
      <w:r w:rsidR="009E72B7">
        <w:t xml:space="preserve">not </w:t>
      </w:r>
      <w:r w:rsidR="00117AE5">
        <w:t xml:space="preserve">been </w:t>
      </w:r>
      <w:r w:rsidR="00A34C53">
        <w:t>upheld.</w:t>
      </w:r>
      <w:r>
        <w:t xml:space="preserve"> </w:t>
      </w:r>
    </w:p>
    <w:p w14:paraId="12A13AFC" w14:textId="77777777" w:rsidR="008D683B" w:rsidRPr="008D683B" w:rsidRDefault="008D683B" w:rsidP="00C40415">
      <w:pPr>
        <w:spacing w:after="0" w:line="276" w:lineRule="auto"/>
        <w:rPr>
          <w:b/>
          <w:bCs/>
        </w:rPr>
      </w:pPr>
    </w:p>
    <w:p w14:paraId="5B104E9B" w14:textId="04262253" w:rsidR="00295970" w:rsidRPr="00DB3DF3" w:rsidRDefault="006E5CD5" w:rsidP="00315068">
      <w:pPr>
        <w:pStyle w:val="ListParagraph"/>
        <w:numPr>
          <w:ilvl w:val="0"/>
          <w:numId w:val="1"/>
        </w:numPr>
        <w:spacing w:after="0" w:line="276" w:lineRule="auto"/>
        <w:rPr>
          <w:b/>
          <w:bCs/>
        </w:rPr>
      </w:pPr>
      <w:r>
        <w:t>Stage 1</w:t>
      </w:r>
      <w:r w:rsidR="00F91DEB">
        <w:t>, or frontline</w:t>
      </w:r>
      <w:r>
        <w:t xml:space="preserve"> complaints</w:t>
      </w:r>
      <w:r w:rsidR="00690769">
        <w:t>,</w:t>
      </w:r>
      <w:r w:rsidR="0007065F">
        <w:t xml:space="preserve"> are </w:t>
      </w:r>
      <w:r w:rsidR="009C4113">
        <w:t xml:space="preserve">addressed whenever possible as close to </w:t>
      </w:r>
      <w:r w:rsidR="004A3769">
        <w:t xml:space="preserve">the source of </w:t>
      </w:r>
      <w:r w:rsidR="009C4113">
        <w:t xml:space="preserve">the </w:t>
      </w:r>
      <w:r w:rsidR="004A3769">
        <w:t xml:space="preserve">matter </w:t>
      </w:r>
      <w:r w:rsidR="009C4113">
        <w:t>complained about.</w:t>
      </w:r>
      <w:r>
        <w:t xml:space="preserve"> </w:t>
      </w:r>
      <w:r w:rsidR="00BB390E">
        <w:t xml:space="preserve">82% of complaints received at Stage 1 </w:t>
      </w:r>
      <w:r w:rsidR="004A3769">
        <w:t xml:space="preserve">in 2022-23 </w:t>
      </w:r>
      <w:r w:rsidR="00797765">
        <w:t xml:space="preserve">were </w:t>
      </w:r>
      <w:r w:rsidR="0069514E">
        <w:t xml:space="preserve">successfully </w:t>
      </w:r>
      <w:r w:rsidR="00797765">
        <w:t xml:space="preserve">resolved </w:t>
      </w:r>
      <w:r w:rsidR="000C26A2">
        <w:t>in line with</w:t>
      </w:r>
      <w:r w:rsidR="00414A35">
        <w:t xml:space="preserve"> </w:t>
      </w:r>
      <w:r w:rsidR="009D176B">
        <w:t>our complaints handling objectives.</w:t>
      </w:r>
      <w:r w:rsidR="001B1C9B">
        <w:t xml:space="preserve"> O</w:t>
      </w:r>
      <w:r w:rsidR="002C4A86">
        <w:t>utcomes o</w:t>
      </w:r>
      <w:r w:rsidR="001B1C9B">
        <w:t xml:space="preserve">f the </w:t>
      </w:r>
      <w:r w:rsidR="001B1C9B" w:rsidRPr="001B1C9B">
        <w:rPr>
          <w:b/>
          <w:bCs/>
        </w:rPr>
        <w:t>22</w:t>
      </w:r>
      <w:r w:rsidR="00A01B3E">
        <w:rPr>
          <w:b/>
          <w:bCs/>
        </w:rPr>
        <w:t>9</w:t>
      </w:r>
      <w:r w:rsidR="001B1C9B">
        <w:t xml:space="preserve"> complaints handled at Stage 1</w:t>
      </w:r>
      <w:r w:rsidR="007B519E">
        <w:t xml:space="preserve"> in 2022-23 were as follows</w:t>
      </w:r>
      <w:r w:rsidR="001B1C9B">
        <w:t>:</w:t>
      </w:r>
    </w:p>
    <w:p w14:paraId="4B202072" w14:textId="77777777" w:rsidR="00DB3DF3" w:rsidRPr="00DB3DF3" w:rsidRDefault="00DB3DF3" w:rsidP="00DB3DF3">
      <w:pPr>
        <w:spacing w:after="0" w:line="276" w:lineRule="auto"/>
        <w:rPr>
          <w:b/>
          <w:bCs/>
        </w:rPr>
      </w:pPr>
    </w:p>
    <w:tbl>
      <w:tblPr>
        <w:tblStyle w:val="TableGrid"/>
        <w:tblW w:w="0" w:type="auto"/>
        <w:tblInd w:w="360" w:type="dxa"/>
        <w:tblLook w:val="04A0" w:firstRow="1" w:lastRow="0" w:firstColumn="1" w:lastColumn="0" w:noHBand="0" w:noVBand="1"/>
      </w:tblPr>
      <w:tblGrid>
        <w:gridCol w:w="2754"/>
        <w:gridCol w:w="3544"/>
      </w:tblGrid>
      <w:tr w:rsidR="00981BDC" w14:paraId="40525245" w14:textId="77777777" w:rsidTr="00027356">
        <w:tc>
          <w:tcPr>
            <w:tcW w:w="2754" w:type="dxa"/>
            <w:shd w:val="clear" w:color="auto" w:fill="538135" w:themeFill="accent6" w:themeFillShade="BF"/>
          </w:tcPr>
          <w:p w14:paraId="2B4A1FB6" w14:textId="1AB8445D" w:rsidR="00981BDC" w:rsidRPr="00027356" w:rsidRDefault="00981BDC" w:rsidP="00C40415">
            <w:pPr>
              <w:pStyle w:val="ListParagraph"/>
              <w:spacing w:line="276" w:lineRule="auto"/>
              <w:ind w:left="0"/>
              <w:rPr>
                <w:b/>
                <w:bCs/>
                <w:color w:val="FFFFFF" w:themeColor="background1"/>
              </w:rPr>
            </w:pPr>
            <w:r w:rsidRPr="00027356">
              <w:rPr>
                <w:b/>
                <w:bCs/>
                <w:color w:val="FFFFFF" w:themeColor="background1"/>
              </w:rPr>
              <w:t>Outcome</w:t>
            </w:r>
          </w:p>
        </w:tc>
        <w:tc>
          <w:tcPr>
            <w:tcW w:w="3544" w:type="dxa"/>
            <w:shd w:val="clear" w:color="auto" w:fill="538135" w:themeFill="accent6" w:themeFillShade="BF"/>
          </w:tcPr>
          <w:p w14:paraId="55AF4762" w14:textId="76A211B8" w:rsidR="00981BDC" w:rsidRPr="00027356" w:rsidRDefault="00981BDC" w:rsidP="00C40415">
            <w:pPr>
              <w:pStyle w:val="ListParagraph"/>
              <w:spacing w:line="276" w:lineRule="auto"/>
              <w:ind w:left="0"/>
              <w:rPr>
                <w:b/>
                <w:bCs/>
                <w:color w:val="FFFFFF" w:themeColor="background1"/>
              </w:rPr>
            </w:pPr>
            <w:r w:rsidRPr="00027356">
              <w:rPr>
                <w:b/>
                <w:bCs/>
                <w:color w:val="FFFFFF" w:themeColor="background1"/>
              </w:rPr>
              <w:t>Number of Stage 1 Complaints</w:t>
            </w:r>
          </w:p>
        </w:tc>
      </w:tr>
      <w:tr w:rsidR="00981BDC" w14:paraId="6F3F13ED" w14:textId="77777777" w:rsidTr="00920F02">
        <w:tc>
          <w:tcPr>
            <w:tcW w:w="2754" w:type="dxa"/>
          </w:tcPr>
          <w:p w14:paraId="312AE879" w14:textId="66CF2DB4" w:rsidR="00981BDC" w:rsidRDefault="00981BDC" w:rsidP="00C40415">
            <w:pPr>
              <w:pStyle w:val="ListParagraph"/>
              <w:spacing w:line="276" w:lineRule="auto"/>
              <w:ind w:left="0"/>
            </w:pPr>
            <w:r>
              <w:t xml:space="preserve">Resolved </w:t>
            </w:r>
          </w:p>
        </w:tc>
        <w:tc>
          <w:tcPr>
            <w:tcW w:w="3544" w:type="dxa"/>
          </w:tcPr>
          <w:p w14:paraId="562547C4" w14:textId="37C89184" w:rsidR="00981BDC" w:rsidRDefault="00981BDC" w:rsidP="00C40415">
            <w:pPr>
              <w:pStyle w:val="ListParagraph"/>
              <w:spacing w:line="276" w:lineRule="auto"/>
              <w:ind w:left="0"/>
            </w:pPr>
            <w:r>
              <w:t>18</w:t>
            </w:r>
            <w:r w:rsidR="00A01B3E">
              <w:t>7</w:t>
            </w:r>
          </w:p>
        </w:tc>
      </w:tr>
      <w:tr w:rsidR="00981BDC" w14:paraId="51DA128B" w14:textId="77777777" w:rsidTr="00920F02">
        <w:tc>
          <w:tcPr>
            <w:tcW w:w="2754" w:type="dxa"/>
          </w:tcPr>
          <w:p w14:paraId="61EC5040" w14:textId="6B1B3283" w:rsidR="00981BDC" w:rsidRDefault="00981BDC" w:rsidP="00C40415">
            <w:pPr>
              <w:pStyle w:val="ListParagraph"/>
              <w:spacing w:line="276" w:lineRule="auto"/>
              <w:ind w:left="0"/>
            </w:pPr>
            <w:r>
              <w:t>Upheld</w:t>
            </w:r>
          </w:p>
        </w:tc>
        <w:tc>
          <w:tcPr>
            <w:tcW w:w="3544" w:type="dxa"/>
          </w:tcPr>
          <w:p w14:paraId="41CF897B" w14:textId="3E6E3558" w:rsidR="00981BDC" w:rsidRDefault="002C4A86" w:rsidP="00C40415">
            <w:pPr>
              <w:pStyle w:val="ListParagraph"/>
              <w:spacing w:line="276" w:lineRule="auto"/>
              <w:ind w:left="0"/>
            </w:pPr>
            <w:r>
              <w:t>6</w:t>
            </w:r>
          </w:p>
        </w:tc>
      </w:tr>
      <w:tr w:rsidR="00981BDC" w14:paraId="146B2CCE" w14:textId="77777777" w:rsidTr="00920F02">
        <w:tc>
          <w:tcPr>
            <w:tcW w:w="2754" w:type="dxa"/>
          </w:tcPr>
          <w:p w14:paraId="360636B0" w14:textId="5A321955" w:rsidR="00981BDC" w:rsidRDefault="00981BDC" w:rsidP="00C40415">
            <w:pPr>
              <w:pStyle w:val="ListParagraph"/>
              <w:spacing w:line="276" w:lineRule="auto"/>
              <w:ind w:left="0"/>
            </w:pPr>
            <w:r>
              <w:t>Partially Upheld</w:t>
            </w:r>
          </w:p>
        </w:tc>
        <w:tc>
          <w:tcPr>
            <w:tcW w:w="3544" w:type="dxa"/>
          </w:tcPr>
          <w:p w14:paraId="276CCFC3" w14:textId="2501505B" w:rsidR="00981BDC" w:rsidRDefault="002C4A86" w:rsidP="00C40415">
            <w:pPr>
              <w:pStyle w:val="ListParagraph"/>
              <w:spacing w:line="276" w:lineRule="auto"/>
              <w:ind w:left="0"/>
            </w:pPr>
            <w:r>
              <w:t>2</w:t>
            </w:r>
          </w:p>
        </w:tc>
      </w:tr>
      <w:tr w:rsidR="00981BDC" w14:paraId="5A2784C1" w14:textId="77777777" w:rsidTr="00920F02">
        <w:tc>
          <w:tcPr>
            <w:tcW w:w="2754" w:type="dxa"/>
          </w:tcPr>
          <w:p w14:paraId="6EA2A0D1" w14:textId="0819B641" w:rsidR="00981BDC" w:rsidRDefault="00981BDC" w:rsidP="00C40415">
            <w:pPr>
              <w:pStyle w:val="ListParagraph"/>
              <w:spacing w:line="276" w:lineRule="auto"/>
              <w:ind w:left="0"/>
            </w:pPr>
            <w:r>
              <w:t>Not Upheld</w:t>
            </w:r>
          </w:p>
        </w:tc>
        <w:tc>
          <w:tcPr>
            <w:tcW w:w="3544" w:type="dxa"/>
          </w:tcPr>
          <w:p w14:paraId="700064CA" w14:textId="13DEB850" w:rsidR="00981BDC" w:rsidRDefault="002C4A86" w:rsidP="00C40415">
            <w:pPr>
              <w:pStyle w:val="ListParagraph"/>
              <w:spacing w:line="276" w:lineRule="auto"/>
              <w:ind w:left="0"/>
            </w:pPr>
            <w:r>
              <w:t>23</w:t>
            </w:r>
          </w:p>
        </w:tc>
      </w:tr>
      <w:tr w:rsidR="00981BDC" w14:paraId="1B7AA2C9" w14:textId="77777777" w:rsidTr="00920F02">
        <w:tc>
          <w:tcPr>
            <w:tcW w:w="2754" w:type="dxa"/>
          </w:tcPr>
          <w:p w14:paraId="20257CD8" w14:textId="3077E0C9" w:rsidR="00981BDC" w:rsidRDefault="00981BDC" w:rsidP="00C40415">
            <w:pPr>
              <w:pStyle w:val="ListParagraph"/>
              <w:spacing w:line="276" w:lineRule="auto"/>
              <w:ind w:left="0"/>
            </w:pPr>
            <w:r>
              <w:t>Withdrawn</w:t>
            </w:r>
          </w:p>
        </w:tc>
        <w:tc>
          <w:tcPr>
            <w:tcW w:w="3544" w:type="dxa"/>
          </w:tcPr>
          <w:p w14:paraId="59332E0E" w14:textId="6F59EBFF" w:rsidR="00981BDC" w:rsidRDefault="002C4A86" w:rsidP="00C40415">
            <w:pPr>
              <w:pStyle w:val="ListParagraph"/>
              <w:spacing w:line="276" w:lineRule="auto"/>
              <w:ind w:left="0"/>
            </w:pPr>
            <w:r>
              <w:t>11</w:t>
            </w:r>
          </w:p>
        </w:tc>
      </w:tr>
    </w:tbl>
    <w:p w14:paraId="06AEC236" w14:textId="35589722" w:rsidR="00EF635A" w:rsidRDefault="00EF635A"/>
    <w:p w14:paraId="377DB6F5" w14:textId="012EC750" w:rsidR="00B52B78" w:rsidRDefault="007B519E" w:rsidP="00C40415">
      <w:pPr>
        <w:pStyle w:val="ListParagraph"/>
        <w:numPr>
          <w:ilvl w:val="0"/>
          <w:numId w:val="1"/>
        </w:numPr>
        <w:spacing w:after="0" w:line="276" w:lineRule="auto"/>
      </w:pPr>
      <w:r>
        <w:t xml:space="preserve">Stage 2 complaints are often complex in nature and require careful investigation. </w:t>
      </w:r>
      <w:r w:rsidR="000E15E8">
        <w:t>O</w:t>
      </w:r>
      <w:r w:rsidR="00B52B78">
        <w:t>utcomes o</w:t>
      </w:r>
      <w:r w:rsidR="000E15E8">
        <w:t xml:space="preserve">f the </w:t>
      </w:r>
      <w:r w:rsidR="00913160" w:rsidRPr="007B519E">
        <w:rPr>
          <w:b/>
          <w:bCs/>
        </w:rPr>
        <w:t>30</w:t>
      </w:r>
      <w:r w:rsidR="000E15E8">
        <w:t xml:space="preserve"> complaints handled at </w:t>
      </w:r>
      <w:r w:rsidR="00B52B78">
        <w:t>S</w:t>
      </w:r>
      <w:r w:rsidR="000E15E8">
        <w:t>tage 2</w:t>
      </w:r>
      <w:r w:rsidR="00B52B78">
        <w:t xml:space="preserve"> in 2022-23 were as follows</w:t>
      </w:r>
      <w:r w:rsidR="000E15E8">
        <w:t>:</w:t>
      </w:r>
    </w:p>
    <w:p w14:paraId="477E1C3B" w14:textId="77777777" w:rsidR="00DB3DF3" w:rsidRPr="007B519E" w:rsidRDefault="00DB3DF3" w:rsidP="00DB3DF3">
      <w:pPr>
        <w:pStyle w:val="ListParagraph"/>
        <w:spacing w:after="0" w:line="276" w:lineRule="auto"/>
        <w:ind w:left="360"/>
      </w:pPr>
    </w:p>
    <w:tbl>
      <w:tblPr>
        <w:tblStyle w:val="TableGrid"/>
        <w:tblW w:w="0" w:type="auto"/>
        <w:tblInd w:w="360" w:type="dxa"/>
        <w:tblLook w:val="04A0" w:firstRow="1" w:lastRow="0" w:firstColumn="1" w:lastColumn="0" w:noHBand="0" w:noVBand="1"/>
      </w:tblPr>
      <w:tblGrid>
        <w:gridCol w:w="2754"/>
        <w:gridCol w:w="3544"/>
      </w:tblGrid>
      <w:tr w:rsidR="00920F02" w14:paraId="15E49FBF" w14:textId="77777777" w:rsidTr="00027356">
        <w:tc>
          <w:tcPr>
            <w:tcW w:w="2754" w:type="dxa"/>
            <w:shd w:val="clear" w:color="auto" w:fill="538135" w:themeFill="accent6" w:themeFillShade="BF"/>
          </w:tcPr>
          <w:p w14:paraId="3B5E6F5E" w14:textId="77777777" w:rsidR="00B52B78" w:rsidRPr="00027356" w:rsidRDefault="00B52B78" w:rsidP="00C40415">
            <w:pPr>
              <w:pStyle w:val="ListParagraph"/>
              <w:spacing w:line="276" w:lineRule="auto"/>
              <w:ind w:left="0"/>
              <w:rPr>
                <w:b/>
                <w:bCs/>
                <w:color w:val="FFFFFF" w:themeColor="background1"/>
              </w:rPr>
            </w:pPr>
            <w:r w:rsidRPr="00027356">
              <w:rPr>
                <w:b/>
                <w:bCs/>
                <w:color w:val="FFFFFF" w:themeColor="background1"/>
              </w:rPr>
              <w:t>Outcome</w:t>
            </w:r>
          </w:p>
        </w:tc>
        <w:tc>
          <w:tcPr>
            <w:tcW w:w="3544" w:type="dxa"/>
            <w:shd w:val="clear" w:color="auto" w:fill="538135" w:themeFill="accent6" w:themeFillShade="BF"/>
          </w:tcPr>
          <w:p w14:paraId="30E32A90" w14:textId="57496F15" w:rsidR="00B52B78" w:rsidRPr="00027356" w:rsidRDefault="00B52B78" w:rsidP="00C40415">
            <w:pPr>
              <w:pStyle w:val="ListParagraph"/>
              <w:spacing w:line="276" w:lineRule="auto"/>
              <w:ind w:left="0"/>
              <w:rPr>
                <w:b/>
                <w:bCs/>
                <w:color w:val="FFFFFF" w:themeColor="background1"/>
              </w:rPr>
            </w:pPr>
            <w:r w:rsidRPr="00027356">
              <w:rPr>
                <w:b/>
                <w:bCs/>
                <w:color w:val="FFFFFF" w:themeColor="background1"/>
              </w:rPr>
              <w:t xml:space="preserve">Number of Stage </w:t>
            </w:r>
            <w:r w:rsidR="00920F02" w:rsidRPr="00027356">
              <w:rPr>
                <w:b/>
                <w:bCs/>
                <w:color w:val="FFFFFF" w:themeColor="background1"/>
              </w:rPr>
              <w:t>2</w:t>
            </w:r>
            <w:r w:rsidRPr="00027356">
              <w:rPr>
                <w:b/>
                <w:bCs/>
                <w:color w:val="FFFFFF" w:themeColor="background1"/>
              </w:rPr>
              <w:t xml:space="preserve"> Complaints</w:t>
            </w:r>
          </w:p>
        </w:tc>
      </w:tr>
      <w:tr w:rsidR="00920F02" w14:paraId="1F1F881C" w14:textId="77777777" w:rsidTr="00920F02">
        <w:tc>
          <w:tcPr>
            <w:tcW w:w="2754" w:type="dxa"/>
          </w:tcPr>
          <w:p w14:paraId="7ED11629" w14:textId="77777777" w:rsidR="00B52B78" w:rsidRDefault="00B52B78" w:rsidP="00C40415">
            <w:pPr>
              <w:pStyle w:val="ListParagraph"/>
              <w:spacing w:line="276" w:lineRule="auto"/>
              <w:ind w:left="0"/>
            </w:pPr>
            <w:r>
              <w:t xml:space="preserve">Resolved </w:t>
            </w:r>
          </w:p>
        </w:tc>
        <w:tc>
          <w:tcPr>
            <w:tcW w:w="3544" w:type="dxa"/>
          </w:tcPr>
          <w:p w14:paraId="364C1071" w14:textId="6C19A1C0" w:rsidR="00B52B78" w:rsidRDefault="00920F02" w:rsidP="00C40415">
            <w:pPr>
              <w:pStyle w:val="ListParagraph"/>
              <w:spacing w:line="276" w:lineRule="auto"/>
              <w:ind w:left="0"/>
            </w:pPr>
            <w:r>
              <w:t>4</w:t>
            </w:r>
          </w:p>
        </w:tc>
      </w:tr>
      <w:tr w:rsidR="00920F02" w14:paraId="72632AA1" w14:textId="77777777" w:rsidTr="00920F02">
        <w:tc>
          <w:tcPr>
            <w:tcW w:w="2754" w:type="dxa"/>
          </w:tcPr>
          <w:p w14:paraId="17B55179" w14:textId="77777777" w:rsidR="00B52B78" w:rsidRDefault="00B52B78" w:rsidP="00C40415">
            <w:pPr>
              <w:pStyle w:val="ListParagraph"/>
              <w:spacing w:line="276" w:lineRule="auto"/>
              <w:ind w:left="0"/>
            </w:pPr>
            <w:r>
              <w:t>Upheld</w:t>
            </w:r>
          </w:p>
        </w:tc>
        <w:tc>
          <w:tcPr>
            <w:tcW w:w="3544" w:type="dxa"/>
          </w:tcPr>
          <w:p w14:paraId="22034462" w14:textId="131A901F" w:rsidR="00B52B78" w:rsidRDefault="00920F02" w:rsidP="00C40415">
            <w:pPr>
              <w:pStyle w:val="ListParagraph"/>
              <w:spacing w:line="276" w:lineRule="auto"/>
              <w:ind w:left="0"/>
            </w:pPr>
            <w:r>
              <w:t>7</w:t>
            </w:r>
          </w:p>
        </w:tc>
      </w:tr>
      <w:tr w:rsidR="00920F02" w14:paraId="4E70F3C8" w14:textId="77777777" w:rsidTr="00920F02">
        <w:tc>
          <w:tcPr>
            <w:tcW w:w="2754" w:type="dxa"/>
          </w:tcPr>
          <w:p w14:paraId="61676A2F" w14:textId="77777777" w:rsidR="00B52B78" w:rsidRDefault="00B52B78" w:rsidP="00C40415">
            <w:pPr>
              <w:pStyle w:val="ListParagraph"/>
              <w:spacing w:line="276" w:lineRule="auto"/>
              <w:ind w:left="0"/>
            </w:pPr>
            <w:r>
              <w:t>Partially Upheld</w:t>
            </w:r>
          </w:p>
        </w:tc>
        <w:tc>
          <w:tcPr>
            <w:tcW w:w="3544" w:type="dxa"/>
          </w:tcPr>
          <w:p w14:paraId="5761651D" w14:textId="107D4327" w:rsidR="00B52B78" w:rsidRDefault="00920F02" w:rsidP="00C40415">
            <w:pPr>
              <w:pStyle w:val="ListParagraph"/>
              <w:spacing w:line="276" w:lineRule="auto"/>
              <w:ind w:left="0"/>
            </w:pPr>
            <w:r>
              <w:t>5</w:t>
            </w:r>
          </w:p>
        </w:tc>
      </w:tr>
      <w:tr w:rsidR="00920F02" w14:paraId="4A6D48E1" w14:textId="77777777" w:rsidTr="00920F02">
        <w:tc>
          <w:tcPr>
            <w:tcW w:w="2754" w:type="dxa"/>
          </w:tcPr>
          <w:p w14:paraId="5E452F39" w14:textId="77777777" w:rsidR="00B52B78" w:rsidRDefault="00B52B78" w:rsidP="00C40415">
            <w:pPr>
              <w:pStyle w:val="ListParagraph"/>
              <w:spacing w:line="276" w:lineRule="auto"/>
              <w:ind w:left="0"/>
            </w:pPr>
            <w:r>
              <w:t>Not Upheld</w:t>
            </w:r>
          </w:p>
        </w:tc>
        <w:tc>
          <w:tcPr>
            <w:tcW w:w="3544" w:type="dxa"/>
          </w:tcPr>
          <w:p w14:paraId="1F31894E" w14:textId="514CD689" w:rsidR="00B52B78" w:rsidRDefault="00920F02" w:rsidP="00C40415">
            <w:pPr>
              <w:pStyle w:val="ListParagraph"/>
              <w:spacing w:line="276" w:lineRule="auto"/>
              <w:ind w:left="0"/>
            </w:pPr>
            <w:r>
              <w:t>10</w:t>
            </w:r>
          </w:p>
        </w:tc>
      </w:tr>
      <w:tr w:rsidR="00B52B78" w14:paraId="79379E72" w14:textId="77777777" w:rsidTr="00920F02">
        <w:tc>
          <w:tcPr>
            <w:tcW w:w="2754" w:type="dxa"/>
          </w:tcPr>
          <w:p w14:paraId="5D91CDE2" w14:textId="77777777" w:rsidR="00B52B78" w:rsidRDefault="00B52B78" w:rsidP="00C40415">
            <w:pPr>
              <w:pStyle w:val="ListParagraph"/>
              <w:spacing w:line="276" w:lineRule="auto"/>
              <w:ind w:left="0"/>
            </w:pPr>
            <w:r>
              <w:t>Withdrawn</w:t>
            </w:r>
          </w:p>
        </w:tc>
        <w:tc>
          <w:tcPr>
            <w:tcW w:w="3544" w:type="dxa"/>
          </w:tcPr>
          <w:p w14:paraId="3D943164" w14:textId="0BCF350B" w:rsidR="00B52B78" w:rsidRDefault="00B52B78" w:rsidP="00C40415">
            <w:pPr>
              <w:pStyle w:val="ListParagraph"/>
              <w:spacing w:line="276" w:lineRule="auto"/>
              <w:ind w:left="0"/>
            </w:pPr>
            <w:r>
              <w:t>1</w:t>
            </w:r>
          </w:p>
        </w:tc>
      </w:tr>
      <w:tr w:rsidR="00B52B78" w14:paraId="760D70E8" w14:textId="77777777" w:rsidTr="00920F02">
        <w:tc>
          <w:tcPr>
            <w:tcW w:w="2754" w:type="dxa"/>
          </w:tcPr>
          <w:p w14:paraId="5C692689" w14:textId="21569B95" w:rsidR="00B52B78" w:rsidRDefault="00B52B78" w:rsidP="00C40415">
            <w:pPr>
              <w:pStyle w:val="ListParagraph"/>
              <w:spacing w:line="276" w:lineRule="auto"/>
              <w:ind w:left="0"/>
            </w:pPr>
            <w:r>
              <w:t xml:space="preserve">Yet to be </w:t>
            </w:r>
            <w:r w:rsidR="00920F02">
              <w:t>Fully Concluded</w:t>
            </w:r>
          </w:p>
        </w:tc>
        <w:tc>
          <w:tcPr>
            <w:tcW w:w="3544" w:type="dxa"/>
          </w:tcPr>
          <w:p w14:paraId="48F83B72" w14:textId="2732905C" w:rsidR="00B52B78" w:rsidRDefault="00920F02" w:rsidP="00C40415">
            <w:pPr>
              <w:pStyle w:val="ListParagraph"/>
              <w:spacing w:line="276" w:lineRule="auto"/>
              <w:ind w:left="0"/>
            </w:pPr>
            <w:r>
              <w:t>3</w:t>
            </w:r>
          </w:p>
        </w:tc>
      </w:tr>
    </w:tbl>
    <w:p w14:paraId="6EC7712E" w14:textId="752DC301" w:rsidR="008D683B" w:rsidRDefault="008D683B" w:rsidP="00C40415">
      <w:pPr>
        <w:spacing w:after="0" w:line="276" w:lineRule="auto"/>
      </w:pPr>
    </w:p>
    <w:p w14:paraId="57787C7E" w14:textId="40E215C8" w:rsidR="00851452" w:rsidRDefault="00851452" w:rsidP="00315068">
      <w:pPr>
        <w:pStyle w:val="ListParagraph"/>
        <w:numPr>
          <w:ilvl w:val="0"/>
          <w:numId w:val="1"/>
        </w:numPr>
        <w:spacing w:after="0" w:line="276" w:lineRule="auto"/>
      </w:pPr>
      <w:r>
        <w:t xml:space="preserve">Some complaints that are received at Stage 1 go on to be considered under Stage 2 of the Complaint Handling Procedure where the complaint has not been </w:t>
      </w:r>
      <w:r w:rsidR="008A2CD7">
        <w:t xml:space="preserve">resolved for the complainant, or where the complainant was not satisfied by the outcome at Stage 1. </w:t>
      </w:r>
      <w:r w:rsidR="000E15E8">
        <w:t xml:space="preserve">Of the </w:t>
      </w:r>
      <w:r w:rsidR="000E15E8" w:rsidRPr="008A2CD7">
        <w:rPr>
          <w:b/>
          <w:bCs/>
        </w:rPr>
        <w:t>3</w:t>
      </w:r>
      <w:r w:rsidR="000E15E8">
        <w:t xml:space="preserve"> complaints </w:t>
      </w:r>
      <w:r w:rsidR="00766F86">
        <w:t xml:space="preserve">in 2022-23 </w:t>
      </w:r>
      <w:r w:rsidR="000E15E8">
        <w:t xml:space="preserve">which were escalated from </w:t>
      </w:r>
      <w:r w:rsidR="00766F86">
        <w:t>S</w:t>
      </w:r>
      <w:r w:rsidR="000E15E8">
        <w:t xml:space="preserve">tage 1 to </w:t>
      </w:r>
      <w:r w:rsidR="00766F86">
        <w:t>S</w:t>
      </w:r>
      <w:r w:rsidR="000E15E8">
        <w:t>tage 2:</w:t>
      </w:r>
    </w:p>
    <w:p w14:paraId="4A19E1AC" w14:textId="77777777" w:rsidR="00DB3DF3" w:rsidRDefault="00DB3DF3" w:rsidP="00DB3DF3">
      <w:pPr>
        <w:pStyle w:val="ListParagraph"/>
        <w:spacing w:after="0" w:line="276" w:lineRule="auto"/>
        <w:ind w:left="360"/>
      </w:pPr>
    </w:p>
    <w:tbl>
      <w:tblPr>
        <w:tblStyle w:val="TableGrid"/>
        <w:tblW w:w="0" w:type="auto"/>
        <w:tblInd w:w="360" w:type="dxa"/>
        <w:tblLook w:val="04A0" w:firstRow="1" w:lastRow="0" w:firstColumn="1" w:lastColumn="0" w:noHBand="0" w:noVBand="1"/>
      </w:tblPr>
      <w:tblGrid>
        <w:gridCol w:w="2754"/>
        <w:gridCol w:w="3544"/>
      </w:tblGrid>
      <w:tr w:rsidR="00851452" w14:paraId="3BDCD94C" w14:textId="77777777" w:rsidTr="00027356">
        <w:tc>
          <w:tcPr>
            <w:tcW w:w="2754" w:type="dxa"/>
            <w:shd w:val="clear" w:color="auto" w:fill="538135" w:themeFill="accent6" w:themeFillShade="BF"/>
          </w:tcPr>
          <w:p w14:paraId="318FE233" w14:textId="77777777" w:rsidR="00851452" w:rsidRPr="00027356" w:rsidRDefault="00851452" w:rsidP="00C40415">
            <w:pPr>
              <w:pStyle w:val="ListParagraph"/>
              <w:spacing w:line="276" w:lineRule="auto"/>
              <w:ind w:left="0"/>
              <w:rPr>
                <w:b/>
                <w:bCs/>
                <w:color w:val="FFFFFF" w:themeColor="background1"/>
              </w:rPr>
            </w:pPr>
            <w:r w:rsidRPr="00027356">
              <w:rPr>
                <w:b/>
                <w:bCs/>
                <w:color w:val="FFFFFF" w:themeColor="background1"/>
              </w:rPr>
              <w:t>Outcome</w:t>
            </w:r>
          </w:p>
        </w:tc>
        <w:tc>
          <w:tcPr>
            <w:tcW w:w="3544" w:type="dxa"/>
            <w:shd w:val="clear" w:color="auto" w:fill="538135" w:themeFill="accent6" w:themeFillShade="BF"/>
          </w:tcPr>
          <w:p w14:paraId="77E5899A" w14:textId="0BDB89D1" w:rsidR="00851452" w:rsidRPr="00027356" w:rsidRDefault="00851452" w:rsidP="00C40415">
            <w:pPr>
              <w:pStyle w:val="ListParagraph"/>
              <w:spacing w:line="276" w:lineRule="auto"/>
              <w:ind w:left="0"/>
              <w:rPr>
                <w:b/>
                <w:bCs/>
                <w:color w:val="FFFFFF" w:themeColor="background1"/>
              </w:rPr>
            </w:pPr>
            <w:r w:rsidRPr="00027356">
              <w:rPr>
                <w:b/>
                <w:bCs/>
                <w:color w:val="FFFFFF" w:themeColor="background1"/>
              </w:rPr>
              <w:t>Number of Escalated Complaints</w:t>
            </w:r>
          </w:p>
        </w:tc>
      </w:tr>
      <w:tr w:rsidR="00851452" w14:paraId="4DD8AC62" w14:textId="77777777" w:rsidTr="00163554">
        <w:tc>
          <w:tcPr>
            <w:tcW w:w="2754" w:type="dxa"/>
          </w:tcPr>
          <w:p w14:paraId="334DDFAA" w14:textId="77777777" w:rsidR="00851452" w:rsidRDefault="00851452" w:rsidP="00C40415">
            <w:pPr>
              <w:pStyle w:val="ListParagraph"/>
              <w:spacing w:line="276" w:lineRule="auto"/>
              <w:ind w:left="0"/>
            </w:pPr>
            <w:r>
              <w:t>Upheld</w:t>
            </w:r>
          </w:p>
        </w:tc>
        <w:tc>
          <w:tcPr>
            <w:tcW w:w="3544" w:type="dxa"/>
          </w:tcPr>
          <w:p w14:paraId="4D8A4DD4" w14:textId="0439EFE6" w:rsidR="00851452" w:rsidRDefault="0034465C" w:rsidP="00C40415">
            <w:pPr>
              <w:pStyle w:val="ListParagraph"/>
              <w:spacing w:line="276" w:lineRule="auto"/>
              <w:ind w:left="0"/>
            </w:pPr>
            <w:r>
              <w:t>2</w:t>
            </w:r>
          </w:p>
        </w:tc>
      </w:tr>
      <w:tr w:rsidR="00851452" w14:paraId="073A2270" w14:textId="77777777" w:rsidTr="00163554">
        <w:tc>
          <w:tcPr>
            <w:tcW w:w="2754" w:type="dxa"/>
          </w:tcPr>
          <w:p w14:paraId="0C5A1ACC" w14:textId="77777777" w:rsidR="00851452" w:rsidRDefault="00851452" w:rsidP="00C40415">
            <w:pPr>
              <w:pStyle w:val="ListParagraph"/>
              <w:spacing w:line="276" w:lineRule="auto"/>
              <w:ind w:left="0"/>
            </w:pPr>
            <w:r>
              <w:t>Partially Upheld</w:t>
            </w:r>
          </w:p>
        </w:tc>
        <w:tc>
          <w:tcPr>
            <w:tcW w:w="3544" w:type="dxa"/>
          </w:tcPr>
          <w:p w14:paraId="77C2CCDD" w14:textId="622F19D6" w:rsidR="00851452" w:rsidRDefault="0034465C" w:rsidP="00C40415">
            <w:pPr>
              <w:pStyle w:val="ListParagraph"/>
              <w:spacing w:line="276" w:lineRule="auto"/>
              <w:ind w:left="0"/>
            </w:pPr>
            <w:r>
              <w:t>1</w:t>
            </w:r>
          </w:p>
        </w:tc>
      </w:tr>
    </w:tbl>
    <w:p w14:paraId="06E63ADF" w14:textId="77777777" w:rsidR="00851452" w:rsidRPr="008A2CD7" w:rsidRDefault="00851452" w:rsidP="00C40415">
      <w:pPr>
        <w:pStyle w:val="ListParagraph"/>
        <w:spacing w:after="0" w:line="276" w:lineRule="auto"/>
        <w:ind w:left="360"/>
      </w:pPr>
    </w:p>
    <w:p w14:paraId="775ADE8E" w14:textId="77777777" w:rsidR="0034465C" w:rsidRDefault="0034465C" w:rsidP="00EF635A">
      <w:pPr>
        <w:spacing w:after="0" w:line="276" w:lineRule="auto"/>
      </w:pPr>
    </w:p>
    <w:p w14:paraId="7C82E28C" w14:textId="03D79EC3" w:rsidR="00B2053A" w:rsidRPr="00013F79" w:rsidRDefault="001234B2" w:rsidP="00C40415">
      <w:pPr>
        <w:pStyle w:val="Heading2"/>
        <w:spacing w:before="0" w:line="276" w:lineRule="auto"/>
        <w:rPr>
          <w:color w:val="auto"/>
        </w:rPr>
      </w:pPr>
      <w:bookmarkStart w:id="10" w:name="_Toc163663730"/>
      <w:r w:rsidRPr="00013F79">
        <w:rPr>
          <w:color w:val="auto"/>
        </w:rPr>
        <w:t>Action</w:t>
      </w:r>
      <w:r w:rsidR="003D5B4D" w:rsidRPr="00013F79">
        <w:rPr>
          <w:color w:val="auto"/>
        </w:rPr>
        <w:t xml:space="preserve"> and Learning </w:t>
      </w:r>
      <w:r w:rsidRPr="00013F79">
        <w:rPr>
          <w:color w:val="auto"/>
        </w:rPr>
        <w:t>Following Complaints</w:t>
      </w:r>
      <w:bookmarkEnd w:id="10"/>
    </w:p>
    <w:p w14:paraId="5647646F" w14:textId="1CF07D72" w:rsidR="004E087C" w:rsidRDefault="004E087C" w:rsidP="00C40415">
      <w:pPr>
        <w:pStyle w:val="ListParagraph"/>
        <w:numPr>
          <w:ilvl w:val="0"/>
          <w:numId w:val="1"/>
        </w:numPr>
        <w:spacing w:after="0" w:line="276" w:lineRule="auto"/>
      </w:pPr>
      <w:r>
        <w:t xml:space="preserve">As part of the complaints process, relevant University teams </w:t>
      </w:r>
      <w:r w:rsidR="00DC0D7F">
        <w:t>are expected to</w:t>
      </w:r>
      <w:r>
        <w:t xml:space="preserve"> routinely reflect on the outcomes of complaints and consider any lessons that can be learnt. Where investigations identify areas of practice that could be improved or enhanced, recommendations are made within the complaint response, and progressed by the relevant faculty or directorate.</w:t>
      </w:r>
    </w:p>
    <w:p w14:paraId="2BD27806" w14:textId="5674F6D0" w:rsidR="007F1FFE" w:rsidRDefault="007F1FFE" w:rsidP="00C40415">
      <w:pPr>
        <w:spacing w:after="0" w:line="276" w:lineRule="auto"/>
      </w:pPr>
    </w:p>
    <w:p w14:paraId="06206650" w14:textId="77777777" w:rsidR="000C7903" w:rsidRDefault="000C7903">
      <w:r>
        <w:br w:type="page"/>
      </w:r>
    </w:p>
    <w:p w14:paraId="3C4E900A" w14:textId="3B6AAA9F" w:rsidR="00B2053A" w:rsidRDefault="00CA117C" w:rsidP="00C40415">
      <w:pPr>
        <w:pStyle w:val="ListParagraph"/>
        <w:numPr>
          <w:ilvl w:val="0"/>
          <w:numId w:val="1"/>
        </w:numPr>
        <w:spacing w:after="0" w:line="276" w:lineRule="auto"/>
      </w:pPr>
      <w:r>
        <w:lastRenderedPageBreak/>
        <w:t xml:space="preserve">The following recommendations were made following outcomes from complaints investigated at </w:t>
      </w:r>
      <w:r w:rsidR="00CD2A0B">
        <w:t>S</w:t>
      </w:r>
      <w:r>
        <w:t>tage 2</w:t>
      </w:r>
      <w:r w:rsidR="001C5930">
        <w:t xml:space="preserve"> during 2022-23</w:t>
      </w:r>
      <w:r>
        <w:t>:</w:t>
      </w:r>
    </w:p>
    <w:tbl>
      <w:tblPr>
        <w:tblStyle w:val="TableGrid"/>
        <w:tblpPr w:leftFromText="180" w:rightFromText="180" w:vertAnchor="text" w:horzAnchor="margin" w:tblpX="421" w:tblpY="203"/>
        <w:tblW w:w="4793" w:type="pct"/>
        <w:tblLook w:val="04A0" w:firstRow="1" w:lastRow="0" w:firstColumn="1" w:lastColumn="0" w:noHBand="0" w:noVBand="1"/>
      </w:tblPr>
      <w:tblGrid>
        <w:gridCol w:w="564"/>
        <w:gridCol w:w="8079"/>
      </w:tblGrid>
      <w:tr w:rsidR="00F53F7A" w14:paraId="398B785A" w14:textId="77777777" w:rsidTr="00027356">
        <w:tc>
          <w:tcPr>
            <w:tcW w:w="326" w:type="pct"/>
            <w:shd w:val="clear" w:color="auto" w:fill="538135" w:themeFill="accent6" w:themeFillShade="BF"/>
          </w:tcPr>
          <w:p w14:paraId="1D509284" w14:textId="77777777" w:rsidR="001E34D0" w:rsidRPr="00027356" w:rsidRDefault="001E34D0" w:rsidP="00C40415">
            <w:pPr>
              <w:pStyle w:val="ListParagraph"/>
              <w:spacing w:line="276" w:lineRule="auto"/>
              <w:ind w:left="0"/>
              <w:rPr>
                <w:b/>
                <w:bCs/>
                <w:color w:val="FFFFFF" w:themeColor="background1"/>
              </w:rPr>
            </w:pPr>
          </w:p>
        </w:tc>
        <w:tc>
          <w:tcPr>
            <w:tcW w:w="4674" w:type="pct"/>
            <w:shd w:val="clear" w:color="auto" w:fill="538135" w:themeFill="accent6" w:themeFillShade="BF"/>
          </w:tcPr>
          <w:p w14:paraId="37119B9C" w14:textId="77777777" w:rsidR="001E34D0" w:rsidRPr="00027356" w:rsidRDefault="001E34D0" w:rsidP="00C40415">
            <w:pPr>
              <w:pStyle w:val="Heading7"/>
              <w:spacing w:before="0" w:line="276" w:lineRule="auto"/>
              <w:rPr>
                <w:rFonts w:asciiTheme="minorHAnsi" w:eastAsiaTheme="minorHAnsi" w:hAnsiTheme="minorHAnsi" w:cstheme="minorBidi"/>
                <w:b/>
                <w:bCs/>
                <w:i w:val="0"/>
                <w:iCs w:val="0"/>
                <w:color w:val="FFFFFF" w:themeColor="background1"/>
              </w:rPr>
            </w:pPr>
            <w:r w:rsidRPr="00027356">
              <w:rPr>
                <w:rFonts w:asciiTheme="minorHAnsi" w:eastAsiaTheme="minorHAnsi" w:hAnsiTheme="minorHAnsi" w:cstheme="minorBidi"/>
                <w:b/>
                <w:bCs/>
                <w:i w:val="0"/>
                <w:iCs w:val="0"/>
                <w:color w:val="FFFFFF" w:themeColor="background1"/>
              </w:rPr>
              <w:t>Recommendation</w:t>
            </w:r>
          </w:p>
        </w:tc>
      </w:tr>
      <w:tr w:rsidR="00F53F7A" w14:paraId="010A84BB" w14:textId="77777777" w:rsidTr="00F53F7A">
        <w:tc>
          <w:tcPr>
            <w:tcW w:w="326" w:type="pct"/>
          </w:tcPr>
          <w:p w14:paraId="3694F5E1" w14:textId="77777777" w:rsidR="001E34D0" w:rsidRPr="00CA117C" w:rsidRDefault="001E34D0" w:rsidP="00C40415">
            <w:pPr>
              <w:pStyle w:val="ListParagraph"/>
              <w:spacing w:line="276" w:lineRule="auto"/>
              <w:ind w:left="0"/>
              <w:rPr>
                <w:b/>
                <w:bCs/>
              </w:rPr>
            </w:pPr>
            <w:r w:rsidRPr="00CA117C">
              <w:rPr>
                <w:b/>
                <w:bCs/>
              </w:rPr>
              <w:t>1</w:t>
            </w:r>
          </w:p>
        </w:tc>
        <w:tc>
          <w:tcPr>
            <w:tcW w:w="4674" w:type="pct"/>
          </w:tcPr>
          <w:p w14:paraId="0BA982C5" w14:textId="77777777" w:rsidR="001E34D0" w:rsidRPr="001E34D0" w:rsidRDefault="001E34D0" w:rsidP="00C40415">
            <w:pPr>
              <w:pStyle w:val="ListParagraph"/>
              <w:spacing w:line="276" w:lineRule="auto"/>
              <w:ind w:left="0"/>
            </w:pPr>
            <w:r w:rsidRPr="001E34D0">
              <w:t>Restructure a specific module and improve timing of communications sent to students.</w:t>
            </w:r>
          </w:p>
        </w:tc>
      </w:tr>
      <w:tr w:rsidR="00F53F7A" w14:paraId="65AD0E2B" w14:textId="77777777" w:rsidTr="00F53F7A">
        <w:tc>
          <w:tcPr>
            <w:tcW w:w="326" w:type="pct"/>
          </w:tcPr>
          <w:p w14:paraId="0B92A027" w14:textId="77777777" w:rsidR="001E34D0" w:rsidRPr="00CA117C" w:rsidRDefault="001E34D0" w:rsidP="00C40415">
            <w:pPr>
              <w:pStyle w:val="ListParagraph"/>
              <w:spacing w:line="276" w:lineRule="auto"/>
              <w:ind w:left="0"/>
              <w:rPr>
                <w:b/>
                <w:bCs/>
              </w:rPr>
            </w:pPr>
            <w:r>
              <w:rPr>
                <w:b/>
                <w:bCs/>
              </w:rPr>
              <w:t>2</w:t>
            </w:r>
          </w:p>
        </w:tc>
        <w:tc>
          <w:tcPr>
            <w:tcW w:w="4674" w:type="pct"/>
          </w:tcPr>
          <w:p w14:paraId="13169DB6" w14:textId="77777777" w:rsidR="001E34D0" w:rsidRPr="001E34D0" w:rsidRDefault="001E34D0" w:rsidP="00C40415">
            <w:pPr>
              <w:pStyle w:val="ListParagraph"/>
              <w:spacing w:line="276" w:lineRule="auto"/>
              <w:ind w:left="0"/>
            </w:pPr>
            <w:r w:rsidRPr="001E34D0">
              <w:t>Update the Accommodation Services’ Occupancy Agreement to enhance and clarify provisions.</w:t>
            </w:r>
          </w:p>
        </w:tc>
      </w:tr>
      <w:tr w:rsidR="00F53F7A" w14:paraId="7D6CDFD4" w14:textId="77777777" w:rsidTr="00F53F7A">
        <w:tc>
          <w:tcPr>
            <w:tcW w:w="326" w:type="pct"/>
          </w:tcPr>
          <w:p w14:paraId="3B056EE9" w14:textId="77777777" w:rsidR="001E34D0" w:rsidRPr="00CA117C" w:rsidRDefault="001E34D0" w:rsidP="00C40415">
            <w:pPr>
              <w:pStyle w:val="ListParagraph"/>
              <w:spacing w:line="276" w:lineRule="auto"/>
              <w:ind w:left="0"/>
              <w:rPr>
                <w:b/>
                <w:bCs/>
              </w:rPr>
            </w:pPr>
            <w:r>
              <w:rPr>
                <w:b/>
                <w:bCs/>
              </w:rPr>
              <w:t>3</w:t>
            </w:r>
          </w:p>
        </w:tc>
        <w:tc>
          <w:tcPr>
            <w:tcW w:w="4674" w:type="pct"/>
          </w:tcPr>
          <w:p w14:paraId="5A7CB65C" w14:textId="77777777" w:rsidR="001E34D0" w:rsidRPr="001E34D0" w:rsidRDefault="001E34D0" w:rsidP="00C40415">
            <w:pPr>
              <w:pStyle w:val="ListParagraph"/>
              <w:spacing w:line="276" w:lineRule="auto"/>
              <w:ind w:left="0"/>
            </w:pPr>
            <w:r w:rsidRPr="001E34D0">
              <w:t>All relevant staff members should be made aware of the additional obligations owed to any student who has a Financial Guarantee Letter in place from an external funder.</w:t>
            </w:r>
          </w:p>
        </w:tc>
      </w:tr>
      <w:tr w:rsidR="00F53F7A" w14:paraId="7027EC60" w14:textId="77777777" w:rsidTr="00F53F7A">
        <w:tc>
          <w:tcPr>
            <w:tcW w:w="326" w:type="pct"/>
          </w:tcPr>
          <w:p w14:paraId="54D3C43F" w14:textId="77777777" w:rsidR="001E34D0" w:rsidRPr="00CA117C" w:rsidRDefault="001E34D0" w:rsidP="00C40415">
            <w:pPr>
              <w:pStyle w:val="ListParagraph"/>
              <w:spacing w:line="276" w:lineRule="auto"/>
              <w:ind w:left="0"/>
              <w:rPr>
                <w:b/>
                <w:bCs/>
              </w:rPr>
            </w:pPr>
            <w:r>
              <w:rPr>
                <w:b/>
                <w:bCs/>
              </w:rPr>
              <w:t>4</w:t>
            </w:r>
          </w:p>
        </w:tc>
        <w:tc>
          <w:tcPr>
            <w:tcW w:w="4674" w:type="pct"/>
          </w:tcPr>
          <w:p w14:paraId="5B1C8505" w14:textId="13482BA6" w:rsidR="001E34D0" w:rsidRPr="001E34D0" w:rsidRDefault="00A06DDD" w:rsidP="00C40415">
            <w:pPr>
              <w:spacing w:line="276" w:lineRule="auto"/>
            </w:pPr>
            <w:r>
              <w:t>I</w:t>
            </w:r>
            <w:r w:rsidR="001E34D0" w:rsidRPr="001E34D0">
              <w:t>ncrease signage to warn campus users of adverse weather conditions.</w:t>
            </w:r>
          </w:p>
        </w:tc>
      </w:tr>
      <w:tr w:rsidR="00F53F7A" w14:paraId="4A9E256A" w14:textId="77777777" w:rsidTr="00F53F7A">
        <w:tc>
          <w:tcPr>
            <w:tcW w:w="326" w:type="pct"/>
          </w:tcPr>
          <w:p w14:paraId="46A41DBB" w14:textId="77777777" w:rsidR="001E34D0" w:rsidRPr="00CA117C" w:rsidRDefault="001E34D0" w:rsidP="00C40415">
            <w:pPr>
              <w:pStyle w:val="ListParagraph"/>
              <w:spacing w:line="276" w:lineRule="auto"/>
              <w:ind w:left="0"/>
              <w:rPr>
                <w:b/>
                <w:bCs/>
              </w:rPr>
            </w:pPr>
            <w:r>
              <w:rPr>
                <w:b/>
                <w:bCs/>
              </w:rPr>
              <w:t>5</w:t>
            </w:r>
          </w:p>
        </w:tc>
        <w:tc>
          <w:tcPr>
            <w:tcW w:w="4674" w:type="pct"/>
          </w:tcPr>
          <w:p w14:paraId="21155658" w14:textId="77777777" w:rsidR="001E34D0" w:rsidRPr="001E34D0" w:rsidRDefault="001E34D0" w:rsidP="00C40415">
            <w:pPr>
              <w:pStyle w:val="ListParagraph"/>
              <w:spacing w:line="276" w:lineRule="auto"/>
              <w:ind w:left="0"/>
            </w:pPr>
            <w:r w:rsidRPr="001E34D0">
              <w:t>Consider approaches and procedures to work with external partners on placements.</w:t>
            </w:r>
          </w:p>
        </w:tc>
      </w:tr>
      <w:tr w:rsidR="00F53F7A" w14:paraId="6D278D92" w14:textId="77777777" w:rsidTr="00F53F7A">
        <w:tc>
          <w:tcPr>
            <w:tcW w:w="326" w:type="pct"/>
          </w:tcPr>
          <w:p w14:paraId="300E3D3C" w14:textId="77777777" w:rsidR="001E34D0" w:rsidRPr="00CA117C" w:rsidRDefault="001E34D0" w:rsidP="00C40415">
            <w:pPr>
              <w:pStyle w:val="ListParagraph"/>
              <w:spacing w:line="276" w:lineRule="auto"/>
              <w:ind w:left="0"/>
              <w:rPr>
                <w:b/>
                <w:bCs/>
              </w:rPr>
            </w:pPr>
            <w:r>
              <w:rPr>
                <w:b/>
                <w:bCs/>
              </w:rPr>
              <w:t>6</w:t>
            </w:r>
          </w:p>
        </w:tc>
        <w:tc>
          <w:tcPr>
            <w:tcW w:w="4674" w:type="pct"/>
          </w:tcPr>
          <w:p w14:paraId="2D4FE597" w14:textId="77777777" w:rsidR="001E34D0" w:rsidRPr="001E34D0" w:rsidRDefault="001E34D0" w:rsidP="00C40415">
            <w:pPr>
              <w:pStyle w:val="ListParagraph"/>
              <w:spacing w:line="276" w:lineRule="auto"/>
              <w:ind w:left="0"/>
            </w:pPr>
            <w:r w:rsidRPr="001E34D0">
              <w:t>Improve the process for communicating information regarding repairs works to students.</w:t>
            </w:r>
          </w:p>
        </w:tc>
      </w:tr>
      <w:tr w:rsidR="00F53F7A" w14:paraId="23F6B491" w14:textId="77777777" w:rsidTr="00F53F7A">
        <w:tc>
          <w:tcPr>
            <w:tcW w:w="326" w:type="pct"/>
          </w:tcPr>
          <w:p w14:paraId="216F1154" w14:textId="77777777" w:rsidR="001E34D0" w:rsidRPr="00CA117C" w:rsidRDefault="001E34D0" w:rsidP="00C40415">
            <w:pPr>
              <w:pStyle w:val="ListParagraph"/>
              <w:spacing w:line="276" w:lineRule="auto"/>
              <w:ind w:left="0"/>
              <w:rPr>
                <w:b/>
                <w:bCs/>
              </w:rPr>
            </w:pPr>
            <w:r>
              <w:rPr>
                <w:b/>
                <w:bCs/>
              </w:rPr>
              <w:t>7</w:t>
            </w:r>
          </w:p>
        </w:tc>
        <w:tc>
          <w:tcPr>
            <w:tcW w:w="4674" w:type="pct"/>
          </w:tcPr>
          <w:p w14:paraId="3CF87D96" w14:textId="77777777" w:rsidR="001E34D0" w:rsidRPr="001E34D0" w:rsidRDefault="001E34D0" w:rsidP="00C40415">
            <w:pPr>
              <w:spacing w:line="276" w:lineRule="auto"/>
            </w:pPr>
            <w:r w:rsidRPr="001E34D0">
              <w:t xml:space="preserve">The student discipline procedure should continue to be reviewed and enhanced. </w:t>
            </w:r>
          </w:p>
        </w:tc>
      </w:tr>
      <w:tr w:rsidR="00F53F7A" w14:paraId="5517AE89" w14:textId="77777777" w:rsidTr="00F53F7A">
        <w:tc>
          <w:tcPr>
            <w:tcW w:w="326" w:type="pct"/>
          </w:tcPr>
          <w:p w14:paraId="4A79E6AE" w14:textId="77777777" w:rsidR="001E34D0" w:rsidRPr="00CA117C" w:rsidRDefault="001E34D0" w:rsidP="00C40415">
            <w:pPr>
              <w:pStyle w:val="ListParagraph"/>
              <w:spacing w:line="276" w:lineRule="auto"/>
              <w:ind w:left="0"/>
              <w:rPr>
                <w:b/>
                <w:bCs/>
              </w:rPr>
            </w:pPr>
            <w:r>
              <w:rPr>
                <w:b/>
                <w:bCs/>
              </w:rPr>
              <w:t>8</w:t>
            </w:r>
          </w:p>
        </w:tc>
        <w:tc>
          <w:tcPr>
            <w:tcW w:w="4674" w:type="pct"/>
          </w:tcPr>
          <w:p w14:paraId="41939068" w14:textId="2220CFCF" w:rsidR="001E34D0" w:rsidRPr="001E34D0" w:rsidRDefault="00A06DDD" w:rsidP="00C40415">
            <w:pPr>
              <w:pStyle w:val="ListParagraph"/>
              <w:spacing w:line="276" w:lineRule="auto"/>
              <w:ind w:left="0"/>
            </w:pPr>
            <w:r>
              <w:t>C</w:t>
            </w:r>
            <w:r w:rsidR="001E34D0" w:rsidRPr="001E34D0">
              <w:t xml:space="preserve">ontinue to explore the most effective methods of providing appropriate feedback to students. </w:t>
            </w:r>
          </w:p>
        </w:tc>
      </w:tr>
      <w:tr w:rsidR="00F53F7A" w14:paraId="016DC37B" w14:textId="77777777" w:rsidTr="00F53F7A">
        <w:tc>
          <w:tcPr>
            <w:tcW w:w="326" w:type="pct"/>
          </w:tcPr>
          <w:p w14:paraId="088FA5EC" w14:textId="77777777" w:rsidR="001E34D0" w:rsidRDefault="001E34D0" w:rsidP="00C40415">
            <w:pPr>
              <w:pStyle w:val="ListParagraph"/>
              <w:spacing w:line="276" w:lineRule="auto"/>
              <w:ind w:left="0"/>
              <w:rPr>
                <w:b/>
                <w:bCs/>
              </w:rPr>
            </w:pPr>
            <w:r>
              <w:rPr>
                <w:b/>
                <w:bCs/>
              </w:rPr>
              <w:t>9</w:t>
            </w:r>
          </w:p>
        </w:tc>
        <w:tc>
          <w:tcPr>
            <w:tcW w:w="4674" w:type="pct"/>
          </w:tcPr>
          <w:p w14:paraId="09DD14A5" w14:textId="7B6AE87B" w:rsidR="001E34D0" w:rsidRPr="001E34D0" w:rsidRDefault="001E34D0" w:rsidP="00C40415">
            <w:pPr>
              <w:pStyle w:val="ListParagraph"/>
              <w:spacing w:line="276" w:lineRule="auto"/>
              <w:ind w:left="0"/>
            </w:pPr>
            <w:r w:rsidRPr="001E34D0">
              <w:t xml:space="preserve">Teams preparing for </w:t>
            </w:r>
            <w:r w:rsidR="00CD2A0B">
              <w:t>g</w:t>
            </w:r>
            <w:r w:rsidRPr="001E34D0">
              <w:t xml:space="preserve">raduation </w:t>
            </w:r>
            <w:r w:rsidR="00F53F7A">
              <w:t xml:space="preserve">should </w:t>
            </w:r>
            <w:r w:rsidRPr="001E34D0">
              <w:t>review procedures</w:t>
            </w:r>
            <w:r w:rsidR="00813F40">
              <w:t xml:space="preserve"> in respect of </w:t>
            </w:r>
            <w:r w:rsidR="00500C63">
              <w:t xml:space="preserve">confirmation of student names </w:t>
            </w:r>
            <w:r w:rsidR="00CD2A0B">
              <w:t>for announcement at a graduation ceremony</w:t>
            </w:r>
            <w:r w:rsidRPr="001E34D0">
              <w:t>.</w:t>
            </w:r>
          </w:p>
        </w:tc>
      </w:tr>
    </w:tbl>
    <w:p w14:paraId="7C58C94A" w14:textId="77777777" w:rsidR="001E34D0" w:rsidRPr="001E34D0" w:rsidRDefault="001E34D0" w:rsidP="00C40415">
      <w:pPr>
        <w:pStyle w:val="ListParagraph"/>
        <w:spacing w:after="0" w:line="276" w:lineRule="auto"/>
        <w:ind w:left="360"/>
      </w:pPr>
    </w:p>
    <w:p w14:paraId="17D55415" w14:textId="0AFBE3A4" w:rsidR="003D5C62" w:rsidRDefault="00B41D35" w:rsidP="00C40415">
      <w:pPr>
        <w:pStyle w:val="ListParagraph"/>
        <w:numPr>
          <w:ilvl w:val="0"/>
          <w:numId w:val="1"/>
        </w:numPr>
        <w:spacing w:after="0" w:line="276" w:lineRule="auto"/>
      </w:pPr>
      <w:r w:rsidRPr="00BF3203">
        <w:rPr>
          <w:rFonts w:cstheme="minorHAnsi"/>
        </w:rPr>
        <w:t>The University considers each</w:t>
      </w:r>
      <w:r w:rsidR="00483E8E" w:rsidRPr="00BF3203">
        <w:rPr>
          <w:rStyle w:val="cf01"/>
          <w:rFonts w:asciiTheme="minorHAnsi" w:hAnsiTheme="minorHAnsi" w:cstheme="minorHAnsi"/>
          <w:sz w:val="22"/>
          <w:szCs w:val="22"/>
        </w:rPr>
        <w:t xml:space="preserve"> complaint</w:t>
      </w:r>
      <w:r w:rsidRPr="00BF3203">
        <w:rPr>
          <w:rStyle w:val="cf01"/>
          <w:rFonts w:asciiTheme="minorHAnsi" w:hAnsiTheme="minorHAnsi" w:cstheme="minorHAnsi"/>
          <w:sz w:val="22"/>
          <w:szCs w:val="22"/>
        </w:rPr>
        <w:t xml:space="preserve"> and concern received</w:t>
      </w:r>
      <w:r w:rsidR="00483E8E" w:rsidRPr="00BF3203">
        <w:rPr>
          <w:rStyle w:val="cf01"/>
          <w:rFonts w:asciiTheme="minorHAnsi" w:hAnsiTheme="minorHAnsi" w:cstheme="minorHAnsi"/>
          <w:sz w:val="22"/>
          <w:szCs w:val="22"/>
        </w:rPr>
        <w:t xml:space="preserve"> </w:t>
      </w:r>
      <w:r w:rsidR="00C53C04" w:rsidRPr="00BF3203">
        <w:rPr>
          <w:rStyle w:val="cf01"/>
          <w:rFonts w:asciiTheme="minorHAnsi" w:hAnsiTheme="minorHAnsi" w:cstheme="minorHAnsi"/>
          <w:sz w:val="22"/>
          <w:szCs w:val="22"/>
        </w:rPr>
        <w:t>to be an opportunity to learn and ensure continu</w:t>
      </w:r>
      <w:r w:rsidR="00A82CF6">
        <w:rPr>
          <w:rStyle w:val="cf01"/>
          <w:rFonts w:asciiTheme="minorHAnsi" w:hAnsiTheme="minorHAnsi" w:cstheme="minorHAnsi"/>
          <w:sz w:val="22"/>
          <w:szCs w:val="22"/>
        </w:rPr>
        <w:t>ous</w:t>
      </w:r>
      <w:r w:rsidR="00C53C04" w:rsidRPr="00BF3203">
        <w:rPr>
          <w:rStyle w:val="cf01"/>
          <w:rFonts w:asciiTheme="minorHAnsi" w:hAnsiTheme="minorHAnsi" w:cstheme="minorHAnsi"/>
          <w:sz w:val="22"/>
          <w:szCs w:val="22"/>
        </w:rPr>
        <w:t xml:space="preserve"> enhancement</w:t>
      </w:r>
      <w:r w:rsidR="005D2396" w:rsidRPr="00BF3203">
        <w:rPr>
          <w:rStyle w:val="cf01"/>
          <w:rFonts w:asciiTheme="minorHAnsi" w:hAnsiTheme="minorHAnsi" w:cstheme="minorHAnsi"/>
          <w:sz w:val="22"/>
          <w:szCs w:val="22"/>
        </w:rPr>
        <w:t>.</w:t>
      </w:r>
      <w:r w:rsidR="00483E8E" w:rsidRPr="00BF3203">
        <w:rPr>
          <w:rStyle w:val="cf01"/>
          <w:rFonts w:asciiTheme="minorHAnsi" w:hAnsiTheme="minorHAnsi" w:cstheme="minorHAnsi"/>
          <w:sz w:val="22"/>
          <w:szCs w:val="22"/>
        </w:rPr>
        <w:t xml:space="preserve"> As part of that commitment and as previously articulated, the University ha</w:t>
      </w:r>
      <w:r w:rsidR="001C7F76" w:rsidRPr="00BF3203">
        <w:rPr>
          <w:rStyle w:val="cf01"/>
          <w:rFonts w:asciiTheme="minorHAnsi" w:hAnsiTheme="minorHAnsi" w:cstheme="minorHAnsi"/>
          <w:sz w:val="22"/>
          <w:szCs w:val="22"/>
        </w:rPr>
        <w:t>s</w:t>
      </w:r>
      <w:r w:rsidR="00483E8E" w:rsidRPr="00BF3203">
        <w:rPr>
          <w:rStyle w:val="cf01"/>
          <w:rFonts w:asciiTheme="minorHAnsi" w:hAnsiTheme="minorHAnsi" w:cstheme="minorHAnsi"/>
          <w:sz w:val="22"/>
          <w:szCs w:val="22"/>
        </w:rPr>
        <w:t xml:space="preserve"> invested in a dedicated Student Conduct and Casework</w:t>
      </w:r>
      <w:r w:rsidR="00A16C27" w:rsidRPr="00BF3203">
        <w:rPr>
          <w:rStyle w:val="cf01"/>
          <w:rFonts w:asciiTheme="minorHAnsi" w:hAnsiTheme="minorHAnsi" w:cstheme="minorHAnsi"/>
          <w:sz w:val="22"/>
          <w:szCs w:val="22"/>
        </w:rPr>
        <w:t xml:space="preserve"> team</w:t>
      </w:r>
      <w:r w:rsidR="00483E8E" w:rsidRPr="00BF3203">
        <w:rPr>
          <w:rStyle w:val="cf01"/>
          <w:rFonts w:asciiTheme="minorHAnsi" w:hAnsiTheme="minorHAnsi" w:cstheme="minorHAnsi"/>
          <w:sz w:val="22"/>
          <w:szCs w:val="22"/>
        </w:rPr>
        <w:t xml:space="preserve">, </w:t>
      </w:r>
      <w:r w:rsidR="0031452F" w:rsidRPr="00BF3203">
        <w:rPr>
          <w:rStyle w:val="cf01"/>
          <w:rFonts w:asciiTheme="minorHAnsi" w:hAnsiTheme="minorHAnsi" w:cstheme="minorHAnsi"/>
          <w:sz w:val="22"/>
          <w:szCs w:val="22"/>
        </w:rPr>
        <w:t xml:space="preserve">and continues to engage proactively with SPSO resources, training and events, </w:t>
      </w:r>
      <w:r w:rsidR="006D233D" w:rsidRPr="00BF3203">
        <w:rPr>
          <w:rStyle w:val="cf01"/>
          <w:rFonts w:asciiTheme="minorHAnsi" w:hAnsiTheme="minorHAnsi" w:cstheme="minorHAnsi"/>
          <w:sz w:val="22"/>
          <w:szCs w:val="22"/>
        </w:rPr>
        <w:t xml:space="preserve">and with a range of other relevant events, activities and developmental opportunities </w:t>
      </w:r>
      <w:r w:rsidR="00BF3203" w:rsidRPr="00BF3203">
        <w:rPr>
          <w:rStyle w:val="cf01"/>
          <w:rFonts w:asciiTheme="minorHAnsi" w:hAnsiTheme="minorHAnsi" w:cstheme="minorHAnsi"/>
          <w:sz w:val="22"/>
          <w:szCs w:val="22"/>
        </w:rPr>
        <w:t xml:space="preserve">relevant to effective complaint handling. </w:t>
      </w:r>
    </w:p>
    <w:p w14:paraId="5BC7059D" w14:textId="77777777" w:rsidR="00B60B92" w:rsidRPr="00B60B92" w:rsidRDefault="00B60B92" w:rsidP="00C40415">
      <w:pPr>
        <w:spacing w:after="0" w:line="276" w:lineRule="auto"/>
      </w:pPr>
    </w:p>
    <w:p w14:paraId="265078C6" w14:textId="200BD4E2" w:rsidR="008B6F90" w:rsidRDefault="008B6F90" w:rsidP="00C40415">
      <w:pPr>
        <w:spacing w:after="0" w:line="276" w:lineRule="auto"/>
        <w:rPr>
          <w:b/>
          <w:bCs/>
          <w:sz w:val="20"/>
          <w:szCs w:val="20"/>
        </w:rPr>
      </w:pPr>
    </w:p>
    <w:p w14:paraId="1F2F3AD9" w14:textId="663547AA" w:rsidR="005F68D2" w:rsidRDefault="005F68D2" w:rsidP="00C40415">
      <w:pPr>
        <w:spacing w:after="0" w:line="276" w:lineRule="auto"/>
      </w:pPr>
      <w:r>
        <w:rPr>
          <w:b/>
          <w:bCs/>
          <w:sz w:val="20"/>
          <w:szCs w:val="20"/>
        </w:rPr>
        <w:t>March 2024</w:t>
      </w:r>
    </w:p>
    <w:sectPr w:rsidR="005F68D2" w:rsidSect="008117DD">
      <w:footerReference w:type="default" r:id="rId1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7418" w14:textId="77777777" w:rsidR="008117DD" w:rsidRDefault="008117DD" w:rsidP="003A783C">
      <w:pPr>
        <w:spacing w:after="0" w:line="240" w:lineRule="auto"/>
      </w:pPr>
      <w:r>
        <w:separator/>
      </w:r>
    </w:p>
  </w:endnote>
  <w:endnote w:type="continuationSeparator" w:id="0">
    <w:p w14:paraId="736DEC58" w14:textId="77777777" w:rsidR="008117DD" w:rsidRDefault="008117DD" w:rsidP="003A783C">
      <w:pPr>
        <w:spacing w:after="0" w:line="240" w:lineRule="auto"/>
      </w:pPr>
      <w:r>
        <w:continuationSeparator/>
      </w:r>
    </w:p>
  </w:endnote>
  <w:endnote w:type="continuationNotice" w:id="1">
    <w:p w14:paraId="339A41CC" w14:textId="77777777" w:rsidR="008117DD" w:rsidRDefault="00811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F0F3" w14:textId="442CD5E3" w:rsidR="00A9056F" w:rsidRDefault="00A9056F">
    <w:pPr>
      <w:pStyle w:val="Footer"/>
      <w:jc w:val="center"/>
    </w:pPr>
    <w:r>
      <w:tab/>
    </w:r>
    <w:r>
      <w:tab/>
    </w:r>
    <w:sdt>
      <w:sdtPr>
        <w:id w:val="-742325944"/>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41B85D8" w14:textId="77777777" w:rsidR="00940DD9" w:rsidRDefault="0094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D949B" w14:textId="77777777" w:rsidR="008117DD" w:rsidRDefault="008117DD" w:rsidP="003A783C">
      <w:pPr>
        <w:spacing w:after="0" w:line="240" w:lineRule="auto"/>
      </w:pPr>
      <w:r>
        <w:separator/>
      </w:r>
    </w:p>
  </w:footnote>
  <w:footnote w:type="continuationSeparator" w:id="0">
    <w:p w14:paraId="6F0BD726" w14:textId="77777777" w:rsidR="008117DD" w:rsidRDefault="008117DD" w:rsidP="003A783C">
      <w:pPr>
        <w:spacing w:after="0" w:line="240" w:lineRule="auto"/>
      </w:pPr>
      <w:r>
        <w:continuationSeparator/>
      </w:r>
    </w:p>
  </w:footnote>
  <w:footnote w:type="continuationNotice" w:id="1">
    <w:p w14:paraId="0E281907" w14:textId="77777777" w:rsidR="008117DD" w:rsidRDefault="008117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855"/>
    <w:multiLevelType w:val="hybridMultilevel"/>
    <w:tmpl w:val="27C05336"/>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D5211"/>
    <w:multiLevelType w:val="hybridMultilevel"/>
    <w:tmpl w:val="16B6A45C"/>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 w15:restartNumberingAfterBreak="0">
    <w:nsid w:val="0A872199"/>
    <w:multiLevelType w:val="hybridMultilevel"/>
    <w:tmpl w:val="4D4E1CF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5326033"/>
    <w:multiLevelType w:val="hybridMultilevel"/>
    <w:tmpl w:val="06DA21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F46D9"/>
    <w:multiLevelType w:val="hybridMultilevel"/>
    <w:tmpl w:val="776E3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C085F"/>
    <w:multiLevelType w:val="hybridMultilevel"/>
    <w:tmpl w:val="B8C86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B1417F"/>
    <w:multiLevelType w:val="hybridMultilevel"/>
    <w:tmpl w:val="D32277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9C770E"/>
    <w:multiLevelType w:val="hybridMultilevel"/>
    <w:tmpl w:val="4E78C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701E"/>
    <w:multiLevelType w:val="hybridMultilevel"/>
    <w:tmpl w:val="059A5D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741F6A"/>
    <w:multiLevelType w:val="hybridMultilevel"/>
    <w:tmpl w:val="85A6BE66"/>
    <w:lvl w:ilvl="0" w:tplc="AE1E50D8">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590011"/>
    <w:multiLevelType w:val="hybridMultilevel"/>
    <w:tmpl w:val="61B24B02"/>
    <w:lvl w:ilvl="0" w:tplc="38E27E8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473CF"/>
    <w:multiLevelType w:val="hybridMultilevel"/>
    <w:tmpl w:val="C5E2E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70E44"/>
    <w:multiLevelType w:val="hybridMultilevel"/>
    <w:tmpl w:val="D49E6E18"/>
    <w:lvl w:ilvl="0" w:tplc="38E27E8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70D2F"/>
    <w:multiLevelType w:val="hybridMultilevel"/>
    <w:tmpl w:val="06E497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0D0470"/>
    <w:multiLevelType w:val="hybridMultilevel"/>
    <w:tmpl w:val="DEE823C0"/>
    <w:lvl w:ilvl="0" w:tplc="38E27E8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7291D"/>
    <w:multiLevelType w:val="hybridMultilevel"/>
    <w:tmpl w:val="D5C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F2269"/>
    <w:multiLevelType w:val="hybridMultilevel"/>
    <w:tmpl w:val="96BE8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EE13C1"/>
    <w:multiLevelType w:val="hybridMultilevel"/>
    <w:tmpl w:val="A5EE4562"/>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4D5E3B"/>
    <w:multiLevelType w:val="hybridMultilevel"/>
    <w:tmpl w:val="A0624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A043FD"/>
    <w:multiLevelType w:val="hybridMultilevel"/>
    <w:tmpl w:val="15104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D7D30"/>
    <w:multiLevelType w:val="hybridMultilevel"/>
    <w:tmpl w:val="E884979A"/>
    <w:lvl w:ilvl="0" w:tplc="38E27E8A">
      <w:start w:val="1"/>
      <w:numFmt w:val="decimal"/>
      <w:lvlText w:val="%1."/>
      <w:lvlJc w:val="left"/>
      <w:pPr>
        <w:ind w:left="405" w:hanging="360"/>
      </w:pPr>
      <w:rPr>
        <w:rFonts w:hint="default"/>
        <w:b w:val="0"/>
        <w:bCs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4BDF736F"/>
    <w:multiLevelType w:val="hybridMultilevel"/>
    <w:tmpl w:val="5894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347DB"/>
    <w:multiLevelType w:val="hybridMultilevel"/>
    <w:tmpl w:val="00621C2E"/>
    <w:lvl w:ilvl="0" w:tplc="5D526E92">
      <w:start w:val="1"/>
      <w:numFmt w:val="decimal"/>
      <w:lvlText w:val="%1."/>
      <w:lvlJc w:val="left"/>
      <w:pPr>
        <w:ind w:left="360" w:hanging="360"/>
      </w:pPr>
      <w:rPr>
        <w:rFonts w:hint="default"/>
        <w:b w:val="0"/>
        <w:bCs w:val="0"/>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43082C"/>
    <w:multiLevelType w:val="hybridMultilevel"/>
    <w:tmpl w:val="521E9D1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58CA0C88"/>
    <w:multiLevelType w:val="hybridMultilevel"/>
    <w:tmpl w:val="F536D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7A318E"/>
    <w:multiLevelType w:val="hybridMultilevel"/>
    <w:tmpl w:val="B1C45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73327E"/>
    <w:multiLevelType w:val="hybridMultilevel"/>
    <w:tmpl w:val="8A80BAD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7" w15:restartNumberingAfterBreak="0">
    <w:nsid w:val="61861D8A"/>
    <w:multiLevelType w:val="hybridMultilevel"/>
    <w:tmpl w:val="CE5C3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D30D1C"/>
    <w:multiLevelType w:val="hybridMultilevel"/>
    <w:tmpl w:val="49CC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B2AC7"/>
    <w:multiLevelType w:val="hybridMultilevel"/>
    <w:tmpl w:val="7E32D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DA6CAA"/>
    <w:multiLevelType w:val="hybridMultilevel"/>
    <w:tmpl w:val="0C56A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3D1CFF"/>
    <w:multiLevelType w:val="hybridMultilevel"/>
    <w:tmpl w:val="3508F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EC16DA"/>
    <w:multiLevelType w:val="hybridMultilevel"/>
    <w:tmpl w:val="CFCA0472"/>
    <w:lvl w:ilvl="0" w:tplc="38E27E8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2407D0"/>
    <w:multiLevelType w:val="hybridMultilevel"/>
    <w:tmpl w:val="B4BAF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075671">
    <w:abstractNumId w:val="22"/>
  </w:num>
  <w:num w:numId="2" w16cid:durableId="1925063365">
    <w:abstractNumId w:val="23"/>
  </w:num>
  <w:num w:numId="3" w16cid:durableId="521090281">
    <w:abstractNumId w:val="2"/>
  </w:num>
  <w:num w:numId="4" w16cid:durableId="719590725">
    <w:abstractNumId w:val="3"/>
  </w:num>
  <w:num w:numId="5" w16cid:durableId="2051028507">
    <w:abstractNumId w:val="11"/>
  </w:num>
  <w:num w:numId="6" w16cid:durableId="122816180">
    <w:abstractNumId w:val="15"/>
  </w:num>
  <w:num w:numId="7" w16cid:durableId="1520004366">
    <w:abstractNumId w:val="28"/>
  </w:num>
  <w:num w:numId="8" w16cid:durableId="939214425">
    <w:abstractNumId w:val="4"/>
  </w:num>
  <w:num w:numId="9" w16cid:durableId="1957177373">
    <w:abstractNumId w:val="6"/>
  </w:num>
  <w:num w:numId="10" w16cid:durableId="1651593657">
    <w:abstractNumId w:val="7"/>
  </w:num>
  <w:num w:numId="11" w16cid:durableId="624387490">
    <w:abstractNumId w:val="18"/>
  </w:num>
  <w:num w:numId="12" w16cid:durableId="1931506696">
    <w:abstractNumId w:val="9"/>
  </w:num>
  <w:num w:numId="13" w16cid:durableId="1973630362">
    <w:abstractNumId w:val="1"/>
  </w:num>
  <w:num w:numId="14" w16cid:durableId="522477956">
    <w:abstractNumId w:val="27"/>
  </w:num>
  <w:num w:numId="15" w16cid:durableId="713507673">
    <w:abstractNumId w:val="25"/>
  </w:num>
  <w:num w:numId="16" w16cid:durableId="821391370">
    <w:abstractNumId w:val="32"/>
  </w:num>
  <w:num w:numId="17" w16cid:durableId="228073890">
    <w:abstractNumId w:val="31"/>
  </w:num>
  <w:num w:numId="18" w16cid:durableId="408306553">
    <w:abstractNumId w:val="16"/>
  </w:num>
  <w:num w:numId="19" w16cid:durableId="1646010964">
    <w:abstractNumId w:val="5"/>
  </w:num>
  <w:num w:numId="20" w16cid:durableId="1980718423">
    <w:abstractNumId w:val="10"/>
  </w:num>
  <w:num w:numId="21" w16cid:durableId="1925457692">
    <w:abstractNumId w:val="12"/>
  </w:num>
  <w:num w:numId="22" w16cid:durableId="2027251472">
    <w:abstractNumId w:val="14"/>
  </w:num>
  <w:num w:numId="23" w16cid:durableId="2072843663">
    <w:abstractNumId w:val="19"/>
  </w:num>
  <w:num w:numId="24" w16cid:durableId="1288047111">
    <w:abstractNumId w:val="30"/>
  </w:num>
  <w:num w:numId="25" w16cid:durableId="2041857884">
    <w:abstractNumId w:val="21"/>
  </w:num>
  <w:num w:numId="26" w16cid:durableId="326328623">
    <w:abstractNumId w:val="8"/>
  </w:num>
  <w:num w:numId="27" w16cid:durableId="524947896">
    <w:abstractNumId w:val="29"/>
  </w:num>
  <w:num w:numId="28" w16cid:durableId="362677186">
    <w:abstractNumId w:val="17"/>
  </w:num>
  <w:num w:numId="29" w16cid:durableId="1393966940">
    <w:abstractNumId w:val="33"/>
  </w:num>
  <w:num w:numId="30" w16cid:durableId="659037818">
    <w:abstractNumId w:val="24"/>
  </w:num>
  <w:num w:numId="31" w16cid:durableId="1896310945">
    <w:abstractNumId w:val="20"/>
  </w:num>
  <w:num w:numId="32" w16cid:durableId="1541630381">
    <w:abstractNumId w:val="26"/>
  </w:num>
  <w:num w:numId="33" w16cid:durableId="559243378">
    <w:abstractNumId w:val="0"/>
  </w:num>
  <w:num w:numId="34" w16cid:durableId="1204908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1B"/>
    <w:rsid w:val="0000432B"/>
    <w:rsid w:val="000064B9"/>
    <w:rsid w:val="00006EA6"/>
    <w:rsid w:val="00013C16"/>
    <w:rsid w:val="00013F79"/>
    <w:rsid w:val="00014098"/>
    <w:rsid w:val="00014FBF"/>
    <w:rsid w:val="000152D6"/>
    <w:rsid w:val="000154C1"/>
    <w:rsid w:val="00021356"/>
    <w:rsid w:val="00022B19"/>
    <w:rsid w:val="000239BE"/>
    <w:rsid w:val="0002429D"/>
    <w:rsid w:val="00025631"/>
    <w:rsid w:val="00026B21"/>
    <w:rsid w:val="00027356"/>
    <w:rsid w:val="0003128A"/>
    <w:rsid w:val="00031DC6"/>
    <w:rsid w:val="00032BB3"/>
    <w:rsid w:val="00033045"/>
    <w:rsid w:val="0003574C"/>
    <w:rsid w:val="00035FBC"/>
    <w:rsid w:val="00037A4E"/>
    <w:rsid w:val="00040897"/>
    <w:rsid w:val="00040BE8"/>
    <w:rsid w:val="00040E22"/>
    <w:rsid w:val="00042D2B"/>
    <w:rsid w:val="000435B0"/>
    <w:rsid w:val="0004403A"/>
    <w:rsid w:val="0004500B"/>
    <w:rsid w:val="00045D20"/>
    <w:rsid w:val="00046A44"/>
    <w:rsid w:val="00051949"/>
    <w:rsid w:val="0005244B"/>
    <w:rsid w:val="000547F5"/>
    <w:rsid w:val="0005574D"/>
    <w:rsid w:val="00057137"/>
    <w:rsid w:val="00060292"/>
    <w:rsid w:val="00060657"/>
    <w:rsid w:val="00060C58"/>
    <w:rsid w:val="00060EA6"/>
    <w:rsid w:val="000615D7"/>
    <w:rsid w:val="0006673E"/>
    <w:rsid w:val="00070582"/>
    <w:rsid w:val="0007065F"/>
    <w:rsid w:val="0007078C"/>
    <w:rsid w:val="00071185"/>
    <w:rsid w:val="00071364"/>
    <w:rsid w:val="00072875"/>
    <w:rsid w:val="0007453C"/>
    <w:rsid w:val="00082807"/>
    <w:rsid w:val="00083329"/>
    <w:rsid w:val="00083C22"/>
    <w:rsid w:val="00086F2D"/>
    <w:rsid w:val="000936B3"/>
    <w:rsid w:val="00093DAE"/>
    <w:rsid w:val="00093E07"/>
    <w:rsid w:val="00093E39"/>
    <w:rsid w:val="000942D8"/>
    <w:rsid w:val="0009431F"/>
    <w:rsid w:val="000955E2"/>
    <w:rsid w:val="00097C59"/>
    <w:rsid w:val="000A2890"/>
    <w:rsid w:val="000A2D00"/>
    <w:rsid w:val="000A53B1"/>
    <w:rsid w:val="000B24EE"/>
    <w:rsid w:val="000B2C8E"/>
    <w:rsid w:val="000B35E0"/>
    <w:rsid w:val="000B62F0"/>
    <w:rsid w:val="000C0AD4"/>
    <w:rsid w:val="000C13E4"/>
    <w:rsid w:val="000C18E8"/>
    <w:rsid w:val="000C26A2"/>
    <w:rsid w:val="000C35EE"/>
    <w:rsid w:val="000C4480"/>
    <w:rsid w:val="000C7903"/>
    <w:rsid w:val="000D049B"/>
    <w:rsid w:val="000D4573"/>
    <w:rsid w:val="000D4B7D"/>
    <w:rsid w:val="000E0F86"/>
    <w:rsid w:val="000E15E8"/>
    <w:rsid w:val="000E1800"/>
    <w:rsid w:val="000E1ECE"/>
    <w:rsid w:val="000E5F0A"/>
    <w:rsid w:val="000E6ABD"/>
    <w:rsid w:val="000F0325"/>
    <w:rsid w:val="000F23A1"/>
    <w:rsid w:val="000F588A"/>
    <w:rsid w:val="000F5B71"/>
    <w:rsid w:val="000F7ABD"/>
    <w:rsid w:val="001006F7"/>
    <w:rsid w:val="00104060"/>
    <w:rsid w:val="00107709"/>
    <w:rsid w:val="00107ADF"/>
    <w:rsid w:val="00110B23"/>
    <w:rsid w:val="00113B31"/>
    <w:rsid w:val="00114F58"/>
    <w:rsid w:val="00116C75"/>
    <w:rsid w:val="00117AE5"/>
    <w:rsid w:val="00121F8A"/>
    <w:rsid w:val="00121F91"/>
    <w:rsid w:val="001234B2"/>
    <w:rsid w:val="00123998"/>
    <w:rsid w:val="00123FCD"/>
    <w:rsid w:val="0012496D"/>
    <w:rsid w:val="00124AC8"/>
    <w:rsid w:val="00126AFD"/>
    <w:rsid w:val="00130AD6"/>
    <w:rsid w:val="0013122C"/>
    <w:rsid w:val="00131FA7"/>
    <w:rsid w:val="00132FC1"/>
    <w:rsid w:val="00134472"/>
    <w:rsid w:val="00134691"/>
    <w:rsid w:val="001422DC"/>
    <w:rsid w:val="00151D6F"/>
    <w:rsid w:val="001520F3"/>
    <w:rsid w:val="001525FC"/>
    <w:rsid w:val="00153706"/>
    <w:rsid w:val="0015376E"/>
    <w:rsid w:val="001563A3"/>
    <w:rsid w:val="001579CB"/>
    <w:rsid w:val="0016155B"/>
    <w:rsid w:val="0016183A"/>
    <w:rsid w:val="00162A04"/>
    <w:rsid w:val="00163554"/>
    <w:rsid w:val="00164713"/>
    <w:rsid w:val="00165E23"/>
    <w:rsid w:val="00167E3E"/>
    <w:rsid w:val="001702ED"/>
    <w:rsid w:val="0017163D"/>
    <w:rsid w:val="00171A33"/>
    <w:rsid w:val="0017294C"/>
    <w:rsid w:val="00174611"/>
    <w:rsid w:val="00175F26"/>
    <w:rsid w:val="00176AA5"/>
    <w:rsid w:val="00180A77"/>
    <w:rsid w:val="001823F6"/>
    <w:rsid w:val="00184D00"/>
    <w:rsid w:val="001862DA"/>
    <w:rsid w:val="00187101"/>
    <w:rsid w:val="00187985"/>
    <w:rsid w:val="00192564"/>
    <w:rsid w:val="00194925"/>
    <w:rsid w:val="00195F71"/>
    <w:rsid w:val="00197364"/>
    <w:rsid w:val="001A01C9"/>
    <w:rsid w:val="001A0609"/>
    <w:rsid w:val="001A2E91"/>
    <w:rsid w:val="001A3B25"/>
    <w:rsid w:val="001A3BB6"/>
    <w:rsid w:val="001A4656"/>
    <w:rsid w:val="001A6688"/>
    <w:rsid w:val="001B1C9B"/>
    <w:rsid w:val="001B2B29"/>
    <w:rsid w:val="001B453E"/>
    <w:rsid w:val="001B47B5"/>
    <w:rsid w:val="001B69D5"/>
    <w:rsid w:val="001B7958"/>
    <w:rsid w:val="001B7E3E"/>
    <w:rsid w:val="001C136C"/>
    <w:rsid w:val="001C16BC"/>
    <w:rsid w:val="001C29BD"/>
    <w:rsid w:val="001C2ACE"/>
    <w:rsid w:val="001C2AFE"/>
    <w:rsid w:val="001C2B7E"/>
    <w:rsid w:val="001C3AF8"/>
    <w:rsid w:val="001C3C60"/>
    <w:rsid w:val="001C4362"/>
    <w:rsid w:val="001C5930"/>
    <w:rsid w:val="001C6225"/>
    <w:rsid w:val="001C68D2"/>
    <w:rsid w:val="001C7B6F"/>
    <w:rsid w:val="001C7F76"/>
    <w:rsid w:val="001D00B7"/>
    <w:rsid w:val="001D21F0"/>
    <w:rsid w:val="001D5068"/>
    <w:rsid w:val="001D78CF"/>
    <w:rsid w:val="001E040B"/>
    <w:rsid w:val="001E0B10"/>
    <w:rsid w:val="001E32E1"/>
    <w:rsid w:val="001E34D0"/>
    <w:rsid w:val="001E6CC6"/>
    <w:rsid w:val="001E6EA4"/>
    <w:rsid w:val="001F123B"/>
    <w:rsid w:val="001F3047"/>
    <w:rsid w:val="002016BF"/>
    <w:rsid w:val="002064A3"/>
    <w:rsid w:val="002101D7"/>
    <w:rsid w:val="002119AE"/>
    <w:rsid w:val="00211CE9"/>
    <w:rsid w:val="00211D93"/>
    <w:rsid w:val="00212406"/>
    <w:rsid w:val="00213601"/>
    <w:rsid w:val="002137AA"/>
    <w:rsid w:val="00213C43"/>
    <w:rsid w:val="002156E3"/>
    <w:rsid w:val="002160F7"/>
    <w:rsid w:val="00216301"/>
    <w:rsid w:val="00221355"/>
    <w:rsid w:val="00222A45"/>
    <w:rsid w:val="0022377C"/>
    <w:rsid w:val="00224BF4"/>
    <w:rsid w:val="002334EA"/>
    <w:rsid w:val="0023355B"/>
    <w:rsid w:val="00235367"/>
    <w:rsid w:val="00237524"/>
    <w:rsid w:val="00240FF3"/>
    <w:rsid w:val="00241DCF"/>
    <w:rsid w:val="002429E7"/>
    <w:rsid w:val="00244555"/>
    <w:rsid w:val="002454B7"/>
    <w:rsid w:val="0024560B"/>
    <w:rsid w:val="00246526"/>
    <w:rsid w:val="00247D21"/>
    <w:rsid w:val="002513E2"/>
    <w:rsid w:val="00254035"/>
    <w:rsid w:val="00256931"/>
    <w:rsid w:val="002622CF"/>
    <w:rsid w:val="00264669"/>
    <w:rsid w:val="00264AC3"/>
    <w:rsid w:val="00265F30"/>
    <w:rsid w:val="00272155"/>
    <w:rsid w:val="002726EE"/>
    <w:rsid w:val="0027509F"/>
    <w:rsid w:val="00276498"/>
    <w:rsid w:val="002823B1"/>
    <w:rsid w:val="0028495B"/>
    <w:rsid w:val="002865FA"/>
    <w:rsid w:val="00287F17"/>
    <w:rsid w:val="00291284"/>
    <w:rsid w:val="00291A12"/>
    <w:rsid w:val="00292577"/>
    <w:rsid w:val="0029507C"/>
    <w:rsid w:val="00295782"/>
    <w:rsid w:val="00295970"/>
    <w:rsid w:val="002A0B31"/>
    <w:rsid w:val="002A16B3"/>
    <w:rsid w:val="002A5619"/>
    <w:rsid w:val="002A5CA4"/>
    <w:rsid w:val="002B1129"/>
    <w:rsid w:val="002B51A9"/>
    <w:rsid w:val="002C178F"/>
    <w:rsid w:val="002C1903"/>
    <w:rsid w:val="002C2731"/>
    <w:rsid w:val="002C3BD0"/>
    <w:rsid w:val="002C4A86"/>
    <w:rsid w:val="002D070C"/>
    <w:rsid w:val="002D1468"/>
    <w:rsid w:val="002D6487"/>
    <w:rsid w:val="002D649F"/>
    <w:rsid w:val="002D6CA2"/>
    <w:rsid w:val="002E0341"/>
    <w:rsid w:val="002E0960"/>
    <w:rsid w:val="002E255A"/>
    <w:rsid w:val="002E4146"/>
    <w:rsid w:val="002E4619"/>
    <w:rsid w:val="002E48EE"/>
    <w:rsid w:val="002E5D3D"/>
    <w:rsid w:val="002E7D7E"/>
    <w:rsid w:val="002E7EE8"/>
    <w:rsid w:val="002F3DA0"/>
    <w:rsid w:val="002F56FF"/>
    <w:rsid w:val="00302295"/>
    <w:rsid w:val="00305276"/>
    <w:rsid w:val="00306799"/>
    <w:rsid w:val="00306ED2"/>
    <w:rsid w:val="00307E7D"/>
    <w:rsid w:val="003102D9"/>
    <w:rsid w:val="0031268C"/>
    <w:rsid w:val="0031452F"/>
    <w:rsid w:val="00315068"/>
    <w:rsid w:val="003150EA"/>
    <w:rsid w:val="003155D0"/>
    <w:rsid w:val="0032050D"/>
    <w:rsid w:val="00322BE4"/>
    <w:rsid w:val="003239BE"/>
    <w:rsid w:val="00324677"/>
    <w:rsid w:val="00325AC9"/>
    <w:rsid w:val="00326DF7"/>
    <w:rsid w:val="0033109B"/>
    <w:rsid w:val="00331C55"/>
    <w:rsid w:val="00333199"/>
    <w:rsid w:val="00334423"/>
    <w:rsid w:val="00335D12"/>
    <w:rsid w:val="00340316"/>
    <w:rsid w:val="00341243"/>
    <w:rsid w:val="00341CBA"/>
    <w:rsid w:val="003424E0"/>
    <w:rsid w:val="00342ABD"/>
    <w:rsid w:val="00342D05"/>
    <w:rsid w:val="003442D6"/>
    <w:rsid w:val="0034444D"/>
    <w:rsid w:val="0034465C"/>
    <w:rsid w:val="00344898"/>
    <w:rsid w:val="003471D7"/>
    <w:rsid w:val="003502E9"/>
    <w:rsid w:val="0035634D"/>
    <w:rsid w:val="003572BC"/>
    <w:rsid w:val="00357DE8"/>
    <w:rsid w:val="00360920"/>
    <w:rsid w:val="00362E09"/>
    <w:rsid w:val="00362F00"/>
    <w:rsid w:val="00363321"/>
    <w:rsid w:val="003639AB"/>
    <w:rsid w:val="00364252"/>
    <w:rsid w:val="0036637B"/>
    <w:rsid w:val="00367A66"/>
    <w:rsid w:val="00371698"/>
    <w:rsid w:val="00376FBD"/>
    <w:rsid w:val="0037722F"/>
    <w:rsid w:val="003774EE"/>
    <w:rsid w:val="00380634"/>
    <w:rsid w:val="00385FBA"/>
    <w:rsid w:val="00387D3C"/>
    <w:rsid w:val="00390DF2"/>
    <w:rsid w:val="00393694"/>
    <w:rsid w:val="00396386"/>
    <w:rsid w:val="003A0113"/>
    <w:rsid w:val="003A140A"/>
    <w:rsid w:val="003A1CA7"/>
    <w:rsid w:val="003A3241"/>
    <w:rsid w:val="003A5A09"/>
    <w:rsid w:val="003A783C"/>
    <w:rsid w:val="003B117E"/>
    <w:rsid w:val="003B2069"/>
    <w:rsid w:val="003B2437"/>
    <w:rsid w:val="003B352E"/>
    <w:rsid w:val="003B38EE"/>
    <w:rsid w:val="003B66DA"/>
    <w:rsid w:val="003B7A08"/>
    <w:rsid w:val="003C0FBC"/>
    <w:rsid w:val="003C11AE"/>
    <w:rsid w:val="003C435E"/>
    <w:rsid w:val="003C5180"/>
    <w:rsid w:val="003C5BD9"/>
    <w:rsid w:val="003C5D4A"/>
    <w:rsid w:val="003C711E"/>
    <w:rsid w:val="003C72B6"/>
    <w:rsid w:val="003C751E"/>
    <w:rsid w:val="003C7D26"/>
    <w:rsid w:val="003D22AC"/>
    <w:rsid w:val="003D41C5"/>
    <w:rsid w:val="003D5143"/>
    <w:rsid w:val="003D5B4D"/>
    <w:rsid w:val="003D5C62"/>
    <w:rsid w:val="003E0D1C"/>
    <w:rsid w:val="003E7989"/>
    <w:rsid w:val="003F0CBA"/>
    <w:rsid w:val="003F33D5"/>
    <w:rsid w:val="003F3F37"/>
    <w:rsid w:val="003F4653"/>
    <w:rsid w:val="003F5F77"/>
    <w:rsid w:val="003F7C12"/>
    <w:rsid w:val="00400437"/>
    <w:rsid w:val="00401CA4"/>
    <w:rsid w:val="00403AF5"/>
    <w:rsid w:val="00404F0E"/>
    <w:rsid w:val="004051E8"/>
    <w:rsid w:val="004056E3"/>
    <w:rsid w:val="00406909"/>
    <w:rsid w:val="00407B47"/>
    <w:rsid w:val="00414A35"/>
    <w:rsid w:val="00415638"/>
    <w:rsid w:val="00422795"/>
    <w:rsid w:val="004229F3"/>
    <w:rsid w:val="00423719"/>
    <w:rsid w:val="00431C86"/>
    <w:rsid w:val="0043202C"/>
    <w:rsid w:val="00432994"/>
    <w:rsid w:val="00432BCA"/>
    <w:rsid w:val="00434CE1"/>
    <w:rsid w:val="00434E39"/>
    <w:rsid w:val="004366F9"/>
    <w:rsid w:val="004401CE"/>
    <w:rsid w:val="00441988"/>
    <w:rsid w:val="00441A61"/>
    <w:rsid w:val="00442A08"/>
    <w:rsid w:val="00442DD1"/>
    <w:rsid w:val="0044674B"/>
    <w:rsid w:val="004514A7"/>
    <w:rsid w:val="0045373A"/>
    <w:rsid w:val="004553C7"/>
    <w:rsid w:val="00456E01"/>
    <w:rsid w:val="00461831"/>
    <w:rsid w:val="00461F24"/>
    <w:rsid w:val="004631A5"/>
    <w:rsid w:val="004653D6"/>
    <w:rsid w:val="00465C04"/>
    <w:rsid w:val="00466098"/>
    <w:rsid w:val="004706C5"/>
    <w:rsid w:val="00470881"/>
    <w:rsid w:val="00470C69"/>
    <w:rsid w:val="00475358"/>
    <w:rsid w:val="00482A93"/>
    <w:rsid w:val="00483E8E"/>
    <w:rsid w:val="00484677"/>
    <w:rsid w:val="004938C4"/>
    <w:rsid w:val="00494343"/>
    <w:rsid w:val="004947F0"/>
    <w:rsid w:val="0049621C"/>
    <w:rsid w:val="004969FD"/>
    <w:rsid w:val="004974B3"/>
    <w:rsid w:val="00497AF8"/>
    <w:rsid w:val="004A1781"/>
    <w:rsid w:val="004A3769"/>
    <w:rsid w:val="004A5424"/>
    <w:rsid w:val="004A679A"/>
    <w:rsid w:val="004B0F31"/>
    <w:rsid w:val="004B5913"/>
    <w:rsid w:val="004B5F1D"/>
    <w:rsid w:val="004B68B1"/>
    <w:rsid w:val="004C09BC"/>
    <w:rsid w:val="004C2F2D"/>
    <w:rsid w:val="004C583F"/>
    <w:rsid w:val="004D001D"/>
    <w:rsid w:val="004D08C3"/>
    <w:rsid w:val="004D09BE"/>
    <w:rsid w:val="004D2EAC"/>
    <w:rsid w:val="004D43E6"/>
    <w:rsid w:val="004D70BF"/>
    <w:rsid w:val="004D795A"/>
    <w:rsid w:val="004E087C"/>
    <w:rsid w:val="004E2FCD"/>
    <w:rsid w:val="004E3746"/>
    <w:rsid w:val="004E3B98"/>
    <w:rsid w:val="004E4286"/>
    <w:rsid w:val="004E5B6C"/>
    <w:rsid w:val="004E5D1A"/>
    <w:rsid w:val="004F009B"/>
    <w:rsid w:val="004F179F"/>
    <w:rsid w:val="004F307A"/>
    <w:rsid w:val="004F3475"/>
    <w:rsid w:val="004F617E"/>
    <w:rsid w:val="004F6750"/>
    <w:rsid w:val="004F72A2"/>
    <w:rsid w:val="00500C63"/>
    <w:rsid w:val="00502D70"/>
    <w:rsid w:val="00503CA2"/>
    <w:rsid w:val="005040C5"/>
    <w:rsid w:val="0050435D"/>
    <w:rsid w:val="00506B45"/>
    <w:rsid w:val="00506DDD"/>
    <w:rsid w:val="005108C7"/>
    <w:rsid w:val="005109DB"/>
    <w:rsid w:val="00511497"/>
    <w:rsid w:val="0051236B"/>
    <w:rsid w:val="00513069"/>
    <w:rsid w:val="00514A31"/>
    <w:rsid w:val="005161BA"/>
    <w:rsid w:val="00516CE8"/>
    <w:rsid w:val="00516D3F"/>
    <w:rsid w:val="00521514"/>
    <w:rsid w:val="005216C4"/>
    <w:rsid w:val="00521C82"/>
    <w:rsid w:val="00522033"/>
    <w:rsid w:val="00522C41"/>
    <w:rsid w:val="00522EEA"/>
    <w:rsid w:val="005243BC"/>
    <w:rsid w:val="00525441"/>
    <w:rsid w:val="005256A1"/>
    <w:rsid w:val="005258F6"/>
    <w:rsid w:val="005263DF"/>
    <w:rsid w:val="005267B7"/>
    <w:rsid w:val="0052781C"/>
    <w:rsid w:val="00527C69"/>
    <w:rsid w:val="005307BC"/>
    <w:rsid w:val="00534B3C"/>
    <w:rsid w:val="00535417"/>
    <w:rsid w:val="0053588E"/>
    <w:rsid w:val="00537482"/>
    <w:rsid w:val="00540DD9"/>
    <w:rsid w:val="00542843"/>
    <w:rsid w:val="00544D2B"/>
    <w:rsid w:val="00552DAC"/>
    <w:rsid w:val="00553A5A"/>
    <w:rsid w:val="005548BE"/>
    <w:rsid w:val="00556B1D"/>
    <w:rsid w:val="00560EB0"/>
    <w:rsid w:val="00562F0A"/>
    <w:rsid w:val="00564A47"/>
    <w:rsid w:val="00565389"/>
    <w:rsid w:val="00565B92"/>
    <w:rsid w:val="00567C5B"/>
    <w:rsid w:val="00571845"/>
    <w:rsid w:val="0057426D"/>
    <w:rsid w:val="005802DF"/>
    <w:rsid w:val="00580CCC"/>
    <w:rsid w:val="00580DF8"/>
    <w:rsid w:val="005841CB"/>
    <w:rsid w:val="00585837"/>
    <w:rsid w:val="00585D71"/>
    <w:rsid w:val="0058690A"/>
    <w:rsid w:val="00590F42"/>
    <w:rsid w:val="005923AA"/>
    <w:rsid w:val="005A0CDA"/>
    <w:rsid w:val="005A1088"/>
    <w:rsid w:val="005A1670"/>
    <w:rsid w:val="005A2D73"/>
    <w:rsid w:val="005A450D"/>
    <w:rsid w:val="005A4E4C"/>
    <w:rsid w:val="005B13BB"/>
    <w:rsid w:val="005B1FC6"/>
    <w:rsid w:val="005B5327"/>
    <w:rsid w:val="005B65C5"/>
    <w:rsid w:val="005C1553"/>
    <w:rsid w:val="005C1642"/>
    <w:rsid w:val="005C1B7F"/>
    <w:rsid w:val="005C28C5"/>
    <w:rsid w:val="005C368F"/>
    <w:rsid w:val="005C5718"/>
    <w:rsid w:val="005C7E0C"/>
    <w:rsid w:val="005D1FF8"/>
    <w:rsid w:val="005D2396"/>
    <w:rsid w:val="005D5403"/>
    <w:rsid w:val="005D5783"/>
    <w:rsid w:val="005D7085"/>
    <w:rsid w:val="005D7254"/>
    <w:rsid w:val="005D7785"/>
    <w:rsid w:val="005E04C5"/>
    <w:rsid w:val="005E136A"/>
    <w:rsid w:val="005E1D42"/>
    <w:rsid w:val="005E348B"/>
    <w:rsid w:val="005E349E"/>
    <w:rsid w:val="005E370E"/>
    <w:rsid w:val="005E6682"/>
    <w:rsid w:val="005F0169"/>
    <w:rsid w:val="005F141A"/>
    <w:rsid w:val="005F3B36"/>
    <w:rsid w:val="005F5345"/>
    <w:rsid w:val="005F68D2"/>
    <w:rsid w:val="006000DB"/>
    <w:rsid w:val="0060039A"/>
    <w:rsid w:val="00602AF1"/>
    <w:rsid w:val="0060342B"/>
    <w:rsid w:val="00603F0B"/>
    <w:rsid w:val="00604F57"/>
    <w:rsid w:val="00605CFE"/>
    <w:rsid w:val="00611862"/>
    <w:rsid w:val="00615883"/>
    <w:rsid w:val="006173DC"/>
    <w:rsid w:val="00617608"/>
    <w:rsid w:val="0062098A"/>
    <w:rsid w:val="0062218E"/>
    <w:rsid w:val="006307FD"/>
    <w:rsid w:val="00633C91"/>
    <w:rsid w:val="0063540A"/>
    <w:rsid w:val="006400D8"/>
    <w:rsid w:val="00641D6D"/>
    <w:rsid w:val="0064288F"/>
    <w:rsid w:val="00643179"/>
    <w:rsid w:val="006435F4"/>
    <w:rsid w:val="00644772"/>
    <w:rsid w:val="00645128"/>
    <w:rsid w:val="006457BF"/>
    <w:rsid w:val="00646148"/>
    <w:rsid w:val="00650DDF"/>
    <w:rsid w:val="00651108"/>
    <w:rsid w:val="006538B1"/>
    <w:rsid w:val="00655111"/>
    <w:rsid w:val="006560B0"/>
    <w:rsid w:val="00661AF9"/>
    <w:rsid w:val="006632DA"/>
    <w:rsid w:val="00664722"/>
    <w:rsid w:val="00664CD8"/>
    <w:rsid w:val="00664E43"/>
    <w:rsid w:val="00666033"/>
    <w:rsid w:val="00671467"/>
    <w:rsid w:val="00671C0E"/>
    <w:rsid w:val="00671C99"/>
    <w:rsid w:val="0067211D"/>
    <w:rsid w:val="00672C2D"/>
    <w:rsid w:val="00673595"/>
    <w:rsid w:val="006818FA"/>
    <w:rsid w:val="006819E8"/>
    <w:rsid w:val="00681FD2"/>
    <w:rsid w:val="006836A7"/>
    <w:rsid w:val="00684E8D"/>
    <w:rsid w:val="006877D2"/>
    <w:rsid w:val="00690769"/>
    <w:rsid w:val="00692468"/>
    <w:rsid w:val="0069447D"/>
    <w:rsid w:val="00694592"/>
    <w:rsid w:val="0069514E"/>
    <w:rsid w:val="00695444"/>
    <w:rsid w:val="0069780A"/>
    <w:rsid w:val="006A29A0"/>
    <w:rsid w:val="006B223D"/>
    <w:rsid w:val="006B24EB"/>
    <w:rsid w:val="006B3624"/>
    <w:rsid w:val="006B6828"/>
    <w:rsid w:val="006B73D4"/>
    <w:rsid w:val="006C0672"/>
    <w:rsid w:val="006C0DBA"/>
    <w:rsid w:val="006C18BB"/>
    <w:rsid w:val="006C311D"/>
    <w:rsid w:val="006C4579"/>
    <w:rsid w:val="006C7FDE"/>
    <w:rsid w:val="006D233D"/>
    <w:rsid w:val="006D2D42"/>
    <w:rsid w:val="006D68BE"/>
    <w:rsid w:val="006D74BF"/>
    <w:rsid w:val="006E1470"/>
    <w:rsid w:val="006E2057"/>
    <w:rsid w:val="006E3BB9"/>
    <w:rsid w:val="006E3D13"/>
    <w:rsid w:val="006E5365"/>
    <w:rsid w:val="006E5CD5"/>
    <w:rsid w:val="006F4757"/>
    <w:rsid w:val="006F4C1E"/>
    <w:rsid w:val="007005B8"/>
    <w:rsid w:val="00701A1B"/>
    <w:rsid w:val="007022AD"/>
    <w:rsid w:val="00702D07"/>
    <w:rsid w:val="00703F62"/>
    <w:rsid w:val="00704F92"/>
    <w:rsid w:val="00712BD8"/>
    <w:rsid w:val="00713348"/>
    <w:rsid w:val="00715C45"/>
    <w:rsid w:val="00716A98"/>
    <w:rsid w:val="00716C94"/>
    <w:rsid w:val="00720CDA"/>
    <w:rsid w:val="00721EC6"/>
    <w:rsid w:val="00722450"/>
    <w:rsid w:val="00724483"/>
    <w:rsid w:val="00724926"/>
    <w:rsid w:val="00724A55"/>
    <w:rsid w:val="00725254"/>
    <w:rsid w:val="007264E5"/>
    <w:rsid w:val="00726D38"/>
    <w:rsid w:val="00732411"/>
    <w:rsid w:val="0073306E"/>
    <w:rsid w:val="0073352F"/>
    <w:rsid w:val="00734171"/>
    <w:rsid w:val="00735EA3"/>
    <w:rsid w:val="00736737"/>
    <w:rsid w:val="0073733A"/>
    <w:rsid w:val="00740084"/>
    <w:rsid w:val="00741EB1"/>
    <w:rsid w:val="00742796"/>
    <w:rsid w:val="007438D9"/>
    <w:rsid w:val="00745882"/>
    <w:rsid w:val="007468BF"/>
    <w:rsid w:val="007470A7"/>
    <w:rsid w:val="007478FB"/>
    <w:rsid w:val="007506D4"/>
    <w:rsid w:val="00750C58"/>
    <w:rsid w:val="00750DCC"/>
    <w:rsid w:val="007523CF"/>
    <w:rsid w:val="007532A8"/>
    <w:rsid w:val="007543DE"/>
    <w:rsid w:val="0075517D"/>
    <w:rsid w:val="007564E1"/>
    <w:rsid w:val="00756AA7"/>
    <w:rsid w:val="00757CBD"/>
    <w:rsid w:val="00761EDA"/>
    <w:rsid w:val="007627D5"/>
    <w:rsid w:val="00763789"/>
    <w:rsid w:val="00763A3A"/>
    <w:rsid w:val="00765A77"/>
    <w:rsid w:val="0076615B"/>
    <w:rsid w:val="00766F86"/>
    <w:rsid w:val="00771C4A"/>
    <w:rsid w:val="00772B47"/>
    <w:rsid w:val="007730AE"/>
    <w:rsid w:val="00781F9C"/>
    <w:rsid w:val="00782670"/>
    <w:rsid w:val="00783418"/>
    <w:rsid w:val="00784479"/>
    <w:rsid w:val="00785B67"/>
    <w:rsid w:val="00785D85"/>
    <w:rsid w:val="007869DD"/>
    <w:rsid w:val="007876FE"/>
    <w:rsid w:val="007900DE"/>
    <w:rsid w:val="007911E1"/>
    <w:rsid w:val="00791284"/>
    <w:rsid w:val="00795674"/>
    <w:rsid w:val="007961E5"/>
    <w:rsid w:val="00796857"/>
    <w:rsid w:val="00796F68"/>
    <w:rsid w:val="00797765"/>
    <w:rsid w:val="007A6660"/>
    <w:rsid w:val="007A756F"/>
    <w:rsid w:val="007B0CC1"/>
    <w:rsid w:val="007B3829"/>
    <w:rsid w:val="007B3F45"/>
    <w:rsid w:val="007B519E"/>
    <w:rsid w:val="007B7B9A"/>
    <w:rsid w:val="007C1D90"/>
    <w:rsid w:val="007C3051"/>
    <w:rsid w:val="007C3E5E"/>
    <w:rsid w:val="007C7E10"/>
    <w:rsid w:val="007D180F"/>
    <w:rsid w:val="007D2205"/>
    <w:rsid w:val="007D4252"/>
    <w:rsid w:val="007D6DEC"/>
    <w:rsid w:val="007D71A7"/>
    <w:rsid w:val="007D7B33"/>
    <w:rsid w:val="007D7E09"/>
    <w:rsid w:val="007E2BCC"/>
    <w:rsid w:val="007E2EC9"/>
    <w:rsid w:val="007E6D74"/>
    <w:rsid w:val="007E7D4F"/>
    <w:rsid w:val="007E7E84"/>
    <w:rsid w:val="007F0D17"/>
    <w:rsid w:val="007F1FFE"/>
    <w:rsid w:val="007F2054"/>
    <w:rsid w:val="007F2CB1"/>
    <w:rsid w:val="007F3B1A"/>
    <w:rsid w:val="007F5134"/>
    <w:rsid w:val="007F7752"/>
    <w:rsid w:val="008000F6"/>
    <w:rsid w:val="00804218"/>
    <w:rsid w:val="00805442"/>
    <w:rsid w:val="00805728"/>
    <w:rsid w:val="00806DC7"/>
    <w:rsid w:val="0080790A"/>
    <w:rsid w:val="008101F0"/>
    <w:rsid w:val="008117DD"/>
    <w:rsid w:val="00813F40"/>
    <w:rsid w:val="00815741"/>
    <w:rsid w:val="00817A3C"/>
    <w:rsid w:val="00821E7C"/>
    <w:rsid w:val="00823A78"/>
    <w:rsid w:val="00832F9D"/>
    <w:rsid w:val="0083424F"/>
    <w:rsid w:val="00834E3D"/>
    <w:rsid w:val="00835F56"/>
    <w:rsid w:val="00836E74"/>
    <w:rsid w:val="008415E6"/>
    <w:rsid w:val="008508E1"/>
    <w:rsid w:val="00851452"/>
    <w:rsid w:val="00854B6C"/>
    <w:rsid w:val="00856A5F"/>
    <w:rsid w:val="00861856"/>
    <w:rsid w:val="00861C52"/>
    <w:rsid w:val="0086349E"/>
    <w:rsid w:val="00863894"/>
    <w:rsid w:val="008644EE"/>
    <w:rsid w:val="0086616E"/>
    <w:rsid w:val="0087102B"/>
    <w:rsid w:val="008734D1"/>
    <w:rsid w:val="00877FCC"/>
    <w:rsid w:val="00880F26"/>
    <w:rsid w:val="00882479"/>
    <w:rsid w:val="00883E0E"/>
    <w:rsid w:val="0088700F"/>
    <w:rsid w:val="008875CD"/>
    <w:rsid w:val="00887D24"/>
    <w:rsid w:val="008914C8"/>
    <w:rsid w:val="00891A85"/>
    <w:rsid w:val="0089658C"/>
    <w:rsid w:val="008975ED"/>
    <w:rsid w:val="008977CA"/>
    <w:rsid w:val="008A0302"/>
    <w:rsid w:val="008A0697"/>
    <w:rsid w:val="008A17ED"/>
    <w:rsid w:val="008A1D0B"/>
    <w:rsid w:val="008A2CD7"/>
    <w:rsid w:val="008A2F74"/>
    <w:rsid w:val="008A6A81"/>
    <w:rsid w:val="008A75FA"/>
    <w:rsid w:val="008A7BB4"/>
    <w:rsid w:val="008B042A"/>
    <w:rsid w:val="008B0DAF"/>
    <w:rsid w:val="008B2E0B"/>
    <w:rsid w:val="008B43D7"/>
    <w:rsid w:val="008B507A"/>
    <w:rsid w:val="008B5E59"/>
    <w:rsid w:val="008B65D1"/>
    <w:rsid w:val="008B6F90"/>
    <w:rsid w:val="008C0723"/>
    <w:rsid w:val="008C17B9"/>
    <w:rsid w:val="008C2C94"/>
    <w:rsid w:val="008C61FE"/>
    <w:rsid w:val="008D3A34"/>
    <w:rsid w:val="008D5398"/>
    <w:rsid w:val="008D5982"/>
    <w:rsid w:val="008D683B"/>
    <w:rsid w:val="008D7F6B"/>
    <w:rsid w:val="008E0DA8"/>
    <w:rsid w:val="008E2941"/>
    <w:rsid w:val="008E2B8A"/>
    <w:rsid w:val="008E493F"/>
    <w:rsid w:val="008E57FD"/>
    <w:rsid w:val="008E5939"/>
    <w:rsid w:val="008E5DBF"/>
    <w:rsid w:val="008F063B"/>
    <w:rsid w:val="008F2ED6"/>
    <w:rsid w:val="008F4EB9"/>
    <w:rsid w:val="008F5938"/>
    <w:rsid w:val="008F73C2"/>
    <w:rsid w:val="009008E1"/>
    <w:rsid w:val="00903421"/>
    <w:rsid w:val="0090473B"/>
    <w:rsid w:val="009059D3"/>
    <w:rsid w:val="00906311"/>
    <w:rsid w:val="00906F25"/>
    <w:rsid w:val="00907A7A"/>
    <w:rsid w:val="00913044"/>
    <w:rsid w:val="00913160"/>
    <w:rsid w:val="0091476D"/>
    <w:rsid w:val="00915F95"/>
    <w:rsid w:val="00920F02"/>
    <w:rsid w:val="0092679E"/>
    <w:rsid w:val="00927853"/>
    <w:rsid w:val="00931ECF"/>
    <w:rsid w:val="00932B52"/>
    <w:rsid w:val="009344CD"/>
    <w:rsid w:val="00934CD8"/>
    <w:rsid w:val="00935775"/>
    <w:rsid w:val="00940DD9"/>
    <w:rsid w:val="009413CA"/>
    <w:rsid w:val="00941A51"/>
    <w:rsid w:val="0094623A"/>
    <w:rsid w:val="00946CA0"/>
    <w:rsid w:val="00951BD1"/>
    <w:rsid w:val="00952112"/>
    <w:rsid w:val="009533C7"/>
    <w:rsid w:val="0095415E"/>
    <w:rsid w:val="00954319"/>
    <w:rsid w:val="009563BF"/>
    <w:rsid w:val="00960084"/>
    <w:rsid w:val="00960D1C"/>
    <w:rsid w:val="00960F98"/>
    <w:rsid w:val="009616F4"/>
    <w:rsid w:val="00962668"/>
    <w:rsid w:val="00962F92"/>
    <w:rsid w:val="0096647E"/>
    <w:rsid w:val="0097028F"/>
    <w:rsid w:val="00970D3A"/>
    <w:rsid w:val="009714F2"/>
    <w:rsid w:val="009724EC"/>
    <w:rsid w:val="00974249"/>
    <w:rsid w:val="009813FC"/>
    <w:rsid w:val="00981BDC"/>
    <w:rsid w:val="00981F5C"/>
    <w:rsid w:val="009838B2"/>
    <w:rsid w:val="00983D58"/>
    <w:rsid w:val="0098598F"/>
    <w:rsid w:val="00986B95"/>
    <w:rsid w:val="00990313"/>
    <w:rsid w:val="00992327"/>
    <w:rsid w:val="00992CF6"/>
    <w:rsid w:val="009938C7"/>
    <w:rsid w:val="00994D98"/>
    <w:rsid w:val="0099642D"/>
    <w:rsid w:val="009A241A"/>
    <w:rsid w:val="009A2DDC"/>
    <w:rsid w:val="009A2E3E"/>
    <w:rsid w:val="009A36BE"/>
    <w:rsid w:val="009B137D"/>
    <w:rsid w:val="009B31C4"/>
    <w:rsid w:val="009B65A7"/>
    <w:rsid w:val="009B7182"/>
    <w:rsid w:val="009C2264"/>
    <w:rsid w:val="009C3F39"/>
    <w:rsid w:val="009C4113"/>
    <w:rsid w:val="009C4C48"/>
    <w:rsid w:val="009C62A0"/>
    <w:rsid w:val="009D176B"/>
    <w:rsid w:val="009D4674"/>
    <w:rsid w:val="009D5C1F"/>
    <w:rsid w:val="009D5F72"/>
    <w:rsid w:val="009D7723"/>
    <w:rsid w:val="009D7F44"/>
    <w:rsid w:val="009E119C"/>
    <w:rsid w:val="009E1CC1"/>
    <w:rsid w:val="009E3236"/>
    <w:rsid w:val="009E40A6"/>
    <w:rsid w:val="009E475A"/>
    <w:rsid w:val="009E50EE"/>
    <w:rsid w:val="009E55AB"/>
    <w:rsid w:val="009E7200"/>
    <w:rsid w:val="009E72B7"/>
    <w:rsid w:val="009F1CF3"/>
    <w:rsid w:val="009F2D80"/>
    <w:rsid w:val="009F2D9F"/>
    <w:rsid w:val="009F38FB"/>
    <w:rsid w:val="009F39CC"/>
    <w:rsid w:val="009F5D4F"/>
    <w:rsid w:val="009F68D9"/>
    <w:rsid w:val="009F6F12"/>
    <w:rsid w:val="009F6F23"/>
    <w:rsid w:val="00A00774"/>
    <w:rsid w:val="00A00796"/>
    <w:rsid w:val="00A01B3E"/>
    <w:rsid w:val="00A037A8"/>
    <w:rsid w:val="00A05272"/>
    <w:rsid w:val="00A06DDD"/>
    <w:rsid w:val="00A07BE6"/>
    <w:rsid w:val="00A10246"/>
    <w:rsid w:val="00A10588"/>
    <w:rsid w:val="00A120B4"/>
    <w:rsid w:val="00A12CDB"/>
    <w:rsid w:val="00A14706"/>
    <w:rsid w:val="00A162C2"/>
    <w:rsid w:val="00A16C27"/>
    <w:rsid w:val="00A16C4E"/>
    <w:rsid w:val="00A201E4"/>
    <w:rsid w:val="00A21283"/>
    <w:rsid w:val="00A23902"/>
    <w:rsid w:val="00A24100"/>
    <w:rsid w:val="00A3236E"/>
    <w:rsid w:val="00A32664"/>
    <w:rsid w:val="00A332E0"/>
    <w:rsid w:val="00A337CD"/>
    <w:rsid w:val="00A34C53"/>
    <w:rsid w:val="00A35405"/>
    <w:rsid w:val="00A36295"/>
    <w:rsid w:val="00A37387"/>
    <w:rsid w:val="00A40637"/>
    <w:rsid w:val="00A42E0B"/>
    <w:rsid w:val="00A44351"/>
    <w:rsid w:val="00A44357"/>
    <w:rsid w:val="00A514D1"/>
    <w:rsid w:val="00A524AF"/>
    <w:rsid w:val="00A53C66"/>
    <w:rsid w:val="00A56375"/>
    <w:rsid w:val="00A624F4"/>
    <w:rsid w:val="00A638DC"/>
    <w:rsid w:val="00A63B6D"/>
    <w:rsid w:val="00A65780"/>
    <w:rsid w:val="00A67440"/>
    <w:rsid w:val="00A675D0"/>
    <w:rsid w:val="00A732E6"/>
    <w:rsid w:val="00A7425E"/>
    <w:rsid w:val="00A768E1"/>
    <w:rsid w:val="00A76E25"/>
    <w:rsid w:val="00A774CB"/>
    <w:rsid w:val="00A82CF6"/>
    <w:rsid w:val="00A82FB1"/>
    <w:rsid w:val="00A83917"/>
    <w:rsid w:val="00A85EB1"/>
    <w:rsid w:val="00A86CB5"/>
    <w:rsid w:val="00A86EBF"/>
    <w:rsid w:val="00A9056F"/>
    <w:rsid w:val="00A90AD0"/>
    <w:rsid w:val="00A91A98"/>
    <w:rsid w:val="00A92324"/>
    <w:rsid w:val="00A9373C"/>
    <w:rsid w:val="00A948A2"/>
    <w:rsid w:val="00A9574A"/>
    <w:rsid w:val="00A958CC"/>
    <w:rsid w:val="00A962D7"/>
    <w:rsid w:val="00A9699A"/>
    <w:rsid w:val="00A96D0D"/>
    <w:rsid w:val="00A9795C"/>
    <w:rsid w:val="00AA0D17"/>
    <w:rsid w:val="00AA1385"/>
    <w:rsid w:val="00AA1691"/>
    <w:rsid w:val="00AA1C8F"/>
    <w:rsid w:val="00AA1DC1"/>
    <w:rsid w:val="00AA1F42"/>
    <w:rsid w:val="00AA720B"/>
    <w:rsid w:val="00AB2656"/>
    <w:rsid w:val="00AC06C0"/>
    <w:rsid w:val="00AC25FA"/>
    <w:rsid w:val="00AC41F7"/>
    <w:rsid w:val="00AC4453"/>
    <w:rsid w:val="00AC7587"/>
    <w:rsid w:val="00AD0037"/>
    <w:rsid w:val="00AD155F"/>
    <w:rsid w:val="00AD16E8"/>
    <w:rsid w:val="00AD270A"/>
    <w:rsid w:val="00AD31C9"/>
    <w:rsid w:val="00AD52EB"/>
    <w:rsid w:val="00AD66E2"/>
    <w:rsid w:val="00AE0105"/>
    <w:rsid w:val="00AE0116"/>
    <w:rsid w:val="00AE0406"/>
    <w:rsid w:val="00AE22A9"/>
    <w:rsid w:val="00AE2767"/>
    <w:rsid w:val="00AE3EBF"/>
    <w:rsid w:val="00AE45AD"/>
    <w:rsid w:val="00AE47A2"/>
    <w:rsid w:val="00AE748B"/>
    <w:rsid w:val="00AE75F0"/>
    <w:rsid w:val="00AE7A35"/>
    <w:rsid w:val="00AF2F26"/>
    <w:rsid w:val="00AF4984"/>
    <w:rsid w:val="00B013D4"/>
    <w:rsid w:val="00B045E6"/>
    <w:rsid w:val="00B04DC4"/>
    <w:rsid w:val="00B061CC"/>
    <w:rsid w:val="00B065D0"/>
    <w:rsid w:val="00B0717D"/>
    <w:rsid w:val="00B074B0"/>
    <w:rsid w:val="00B07A9B"/>
    <w:rsid w:val="00B11008"/>
    <w:rsid w:val="00B110B9"/>
    <w:rsid w:val="00B130A7"/>
    <w:rsid w:val="00B2053A"/>
    <w:rsid w:val="00B220B9"/>
    <w:rsid w:val="00B24E69"/>
    <w:rsid w:val="00B24EEA"/>
    <w:rsid w:val="00B315C6"/>
    <w:rsid w:val="00B317E7"/>
    <w:rsid w:val="00B3262A"/>
    <w:rsid w:val="00B34767"/>
    <w:rsid w:val="00B36AD3"/>
    <w:rsid w:val="00B41D35"/>
    <w:rsid w:val="00B42A20"/>
    <w:rsid w:val="00B43498"/>
    <w:rsid w:val="00B44226"/>
    <w:rsid w:val="00B46A54"/>
    <w:rsid w:val="00B4773B"/>
    <w:rsid w:val="00B5038C"/>
    <w:rsid w:val="00B52B78"/>
    <w:rsid w:val="00B54733"/>
    <w:rsid w:val="00B557C9"/>
    <w:rsid w:val="00B56276"/>
    <w:rsid w:val="00B57353"/>
    <w:rsid w:val="00B60B92"/>
    <w:rsid w:val="00B61AFB"/>
    <w:rsid w:val="00B63C81"/>
    <w:rsid w:val="00B71D1D"/>
    <w:rsid w:val="00B71F27"/>
    <w:rsid w:val="00B7771D"/>
    <w:rsid w:val="00B80D46"/>
    <w:rsid w:val="00B81916"/>
    <w:rsid w:val="00B83227"/>
    <w:rsid w:val="00B83E54"/>
    <w:rsid w:val="00B84FC3"/>
    <w:rsid w:val="00B862BE"/>
    <w:rsid w:val="00B86612"/>
    <w:rsid w:val="00B87D48"/>
    <w:rsid w:val="00B90EA5"/>
    <w:rsid w:val="00B91977"/>
    <w:rsid w:val="00B92B9A"/>
    <w:rsid w:val="00B95D91"/>
    <w:rsid w:val="00B978F4"/>
    <w:rsid w:val="00BA125F"/>
    <w:rsid w:val="00BA1A45"/>
    <w:rsid w:val="00BA20CC"/>
    <w:rsid w:val="00BA51B9"/>
    <w:rsid w:val="00BA71B0"/>
    <w:rsid w:val="00BA7BC1"/>
    <w:rsid w:val="00BB07ED"/>
    <w:rsid w:val="00BB31A6"/>
    <w:rsid w:val="00BB390E"/>
    <w:rsid w:val="00BB44AC"/>
    <w:rsid w:val="00BB53BB"/>
    <w:rsid w:val="00BB6EB4"/>
    <w:rsid w:val="00BB7536"/>
    <w:rsid w:val="00BB75D6"/>
    <w:rsid w:val="00BC1C4B"/>
    <w:rsid w:val="00BC1DD4"/>
    <w:rsid w:val="00BC518A"/>
    <w:rsid w:val="00BC7EDF"/>
    <w:rsid w:val="00BD5CE6"/>
    <w:rsid w:val="00BD60F5"/>
    <w:rsid w:val="00BD641F"/>
    <w:rsid w:val="00BE3774"/>
    <w:rsid w:val="00BE3889"/>
    <w:rsid w:val="00BE3EE2"/>
    <w:rsid w:val="00BE3FBF"/>
    <w:rsid w:val="00BE60AD"/>
    <w:rsid w:val="00BE6710"/>
    <w:rsid w:val="00BF1066"/>
    <w:rsid w:val="00BF165B"/>
    <w:rsid w:val="00BF277C"/>
    <w:rsid w:val="00BF3203"/>
    <w:rsid w:val="00BF42C5"/>
    <w:rsid w:val="00BF665D"/>
    <w:rsid w:val="00BF7CB9"/>
    <w:rsid w:val="00C007B2"/>
    <w:rsid w:val="00C00833"/>
    <w:rsid w:val="00C012B8"/>
    <w:rsid w:val="00C0383A"/>
    <w:rsid w:val="00C042F7"/>
    <w:rsid w:val="00C06817"/>
    <w:rsid w:val="00C0786E"/>
    <w:rsid w:val="00C07EB6"/>
    <w:rsid w:val="00C1031E"/>
    <w:rsid w:val="00C122F8"/>
    <w:rsid w:val="00C122F9"/>
    <w:rsid w:val="00C12A14"/>
    <w:rsid w:val="00C12C72"/>
    <w:rsid w:val="00C17C32"/>
    <w:rsid w:val="00C17CAE"/>
    <w:rsid w:val="00C20890"/>
    <w:rsid w:val="00C20AB6"/>
    <w:rsid w:val="00C21C88"/>
    <w:rsid w:val="00C226E2"/>
    <w:rsid w:val="00C241BC"/>
    <w:rsid w:val="00C27A02"/>
    <w:rsid w:val="00C31C11"/>
    <w:rsid w:val="00C34525"/>
    <w:rsid w:val="00C35A3E"/>
    <w:rsid w:val="00C35DCC"/>
    <w:rsid w:val="00C37733"/>
    <w:rsid w:val="00C40415"/>
    <w:rsid w:val="00C44B63"/>
    <w:rsid w:val="00C44F2C"/>
    <w:rsid w:val="00C46794"/>
    <w:rsid w:val="00C46C9C"/>
    <w:rsid w:val="00C474D3"/>
    <w:rsid w:val="00C477A7"/>
    <w:rsid w:val="00C47CA2"/>
    <w:rsid w:val="00C5069A"/>
    <w:rsid w:val="00C53C04"/>
    <w:rsid w:val="00C55E6E"/>
    <w:rsid w:val="00C606B4"/>
    <w:rsid w:val="00C623E8"/>
    <w:rsid w:val="00C63369"/>
    <w:rsid w:val="00C64D1F"/>
    <w:rsid w:val="00C651C9"/>
    <w:rsid w:val="00C66ADC"/>
    <w:rsid w:val="00C66C56"/>
    <w:rsid w:val="00C70A57"/>
    <w:rsid w:val="00C71FA2"/>
    <w:rsid w:val="00C72AFF"/>
    <w:rsid w:val="00C739BA"/>
    <w:rsid w:val="00C73A27"/>
    <w:rsid w:val="00C80C11"/>
    <w:rsid w:val="00C91DE1"/>
    <w:rsid w:val="00C923FB"/>
    <w:rsid w:val="00C93266"/>
    <w:rsid w:val="00C93F62"/>
    <w:rsid w:val="00CA0285"/>
    <w:rsid w:val="00CA117C"/>
    <w:rsid w:val="00CA1998"/>
    <w:rsid w:val="00CA369C"/>
    <w:rsid w:val="00CA448B"/>
    <w:rsid w:val="00CA4BBD"/>
    <w:rsid w:val="00CA557D"/>
    <w:rsid w:val="00CA5FC9"/>
    <w:rsid w:val="00CA6CA5"/>
    <w:rsid w:val="00CB560E"/>
    <w:rsid w:val="00CB5F90"/>
    <w:rsid w:val="00CC1E12"/>
    <w:rsid w:val="00CC45D5"/>
    <w:rsid w:val="00CC6B1B"/>
    <w:rsid w:val="00CD13DE"/>
    <w:rsid w:val="00CD2872"/>
    <w:rsid w:val="00CD2A0B"/>
    <w:rsid w:val="00CD3ED1"/>
    <w:rsid w:val="00CD4AD6"/>
    <w:rsid w:val="00CD72B5"/>
    <w:rsid w:val="00CE17DD"/>
    <w:rsid w:val="00CE1A96"/>
    <w:rsid w:val="00CE21F3"/>
    <w:rsid w:val="00CE37A7"/>
    <w:rsid w:val="00CE4434"/>
    <w:rsid w:val="00CF13B5"/>
    <w:rsid w:val="00CF3D44"/>
    <w:rsid w:val="00D0036A"/>
    <w:rsid w:val="00D01E12"/>
    <w:rsid w:val="00D02945"/>
    <w:rsid w:val="00D03F29"/>
    <w:rsid w:val="00D042B6"/>
    <w:rsid w:val="00D073B4"/>
    <w:rsid w:val="00D10EE7"/>
    <w:rsid w:val="00D111B1"/>
    <w:rsid w:val="00D14D90"/>
    <w:rsid w:val="00D1715E"/>
    <w:rsid w:val="00D2193F"/>
    <w:rsid w:val="00D24032"/>
    <w:rsid w:val="00D24159"/>
    <w:rsid w:val="00D25CF8"/>
    <w:rsid w:val="00D273F0"/>
    <w:rsid w:val="00D27E2E"/>
    <w:rsid w:val="00D3214D"/>
    <w:rsid w:val="00D33DBD"/>
    <w:rsid w:val="00D34017"/>
    <w:rsid w:val="00D34CE9"/>
    <w:rsid w:val="00D35F5A"/>
    <w:rsid w:val="00D36CCD"/>
    <w:rsid w:val="00D41069"/>
    <w:rsid w:val="00D4176B"/>
    <w:rsid w:val="00D42F5A"/>
    <w:rsid w:val="00D433EA"/>
    <w:rsid w:val="00D46792"/>
    <w:rsid w:val="00D474B9"/>
    <w:rsid w:val="00D47C26"/>
    <w:rsid w:val="00D505B9"/>
    <w:rsid w:val="00D50B92"/>
    <w:rsid w:val="00D50CC6"/>
    <w:rsid w:val="00D51D5C"/>
    <w:rsid w:val="00D527FA"/>
    <w:rsid w:val="00D5404C"/>
    <w:rsid w:val="00D543E1"/>
    <w:rsid w:val="00D55210"/>
    <w:rsid w:val="00D559E7"/>
    <w:rsid w:val="00D55F13"/>
    <w:rsid w:val="00D565AA"/>
    <w:rsid w:val="00D57941"/>
    <w:rsid w:val="00D60406"/>
    <w:rsid w:val="00D610FB"/>
    <w:rsid w:val="00D624D7"/>
    <w:rsid w:val="00D63BF3"/>
    <w:rsid w:val="00D66935"/>
    <w:rsid w:val="00D71750"/>
    <w:rsid w:val="00D74941"/>
    <w:rsid w:val="00D75971"/>
    <w:rsid w:val="00D803B2"/>
    <w:rsid w:val="00D8402E"/>
    <w:rsid w:val="00D85999"/>
    <w:rsid w:val="00D85B95"/>
    <w:rsid w:val="00D86760"/>
    <w:rsid w:val="00D86E1D"/>
    <w:rsid w:val="00D906AE"/>
    <w:rsid w:val="00D91D93"/>
    <w:rsid w:val="00D94C08"/>
    <w:rsid w:val="00D95DCA"/>
    <w:rsid w:val="00D964A2"/>
    <w:rsid w:val="00D9730F"/>
    <w:rsid w:val="00DA3FA0"/>
    <w:rsid w:val="00DA421A"/>
    <w:rsid w:val="00DA438B"/>
    <w:rsid w:val="00DB1709"/>
    <w:rsid w:val="00DB1D4C"/>
    <w:rsid w:val="00DB1DCD"/>
    <w:rsid w:val="00DB1F17"/>
    <w:rsid w:val="00DB3DF3"/>
    <w:rsid w:val="00DB74CF"/>
    <w:rsid w:val="00DC0D44"/>
    <w:rsid w:val="00DC0D7F"/>
    <w:rsid w:val="00DC2909"/>
    <w:rsid w:val="00DC445D"/>
    <w:rsid w:val="00DC5156"/>
    <w:rsid w:val="00DC6540"/>
    <w:rsid w:val="00DC6A00"/>
    <w:rsid w:val="00DD1E39"/>
    <w:rsid w:val="00DD3A61"/>
    <w:rsid w:val="00DD4512"/>
    <w:rsid w:val="00DD4D52"/>
    <w:rsid w:val="00DD7248"/>
    <w:rsid w:val="00DD7D66"/>
    <w:rsid w:val="00DE01ED"/>
    <w:rsid w:val="00DE0F95"/>
    <w:rsid w:val="00DE10FC"/>
    <w:rsid w:val="00DE18F0"/>
    <w:rsid w:val="00DE2908"/>
    <w:rsid w:val="00DE465F"/>
    <w:rsid w:val="00DE4799"/>
    <w:rsid w:val="00DE4802"/>
    <w:rsid w:val="00DE6BBC"/>
    <w:rsid w:val="00DE761D"/>
    <w:rsid w:val="00DF08D8"/>
    <w:rsid w:val="00DF3B00"/>
    <w:rsid w:val="00DF6657"/>
    <w:rsid w:val="00E07776"/>
    <w:rsid w:val="00E1106A"/>
    <w:rsid w:val="00E125C5"/>
    <w:rsid w:val="00E12828"/>
    <w:rsid w:val="00E14311"/>
    <w:rsid w:val="00E164C3"/>
    <w:rsid w:val="00E17F3F"/>
    <w:rsid w:val="00E2179B"/>
    <w:rsid w:val="00E21D63"/>
    <w:rsid w:val="00E21F15"/>
    <w:rsid w:val="00E24737"/>
    <w:rsid w:val="00E24C50"/>
    <w:rsid w:val="00E3028F"/>
    <w:rsid w:val="00E31D6B"/>
    <w:rsid w:val="00E3341C"/>
    <w:rsid w:val="00E35AC9"/>
    <w:rsid w:val="00E35BDE"/>
    <w:rsid w:val="00E36093"/>
    <w:rsid w:val="00E36A8E"/>
    <w:rsid w:val="00E41018"/>
    <w:rsid w:val="00E431B0"/>
    <w:rsid w:val="00E436F0"/>
    <w:rsid w:val="00E46E2F"/>
    <w:rsid w:val="00E525D1"/>
    <w:rsid w:val="00E61DA3"/>
    <w:rsid w:val="00E61E82"/>
    <w:rsid w:val="00E7164A"/>
    <w:rsid w:val="00E717A1"/>
    <w:rsid w:val="00E71873"/>
    <w:rsid w:val="00E71FC4"/>
    <w:rsid w:val="00E73177"/>
    <w:rsid w:val="00E7343E"/>
    <w:rsid w:val="00E76AAE"/>
    <w:rsid w:val="00E77A2B"/>
    <w:rsid w:val="00E810B5"/>
    <w:rsid w:val="00E856F3"/>
    <w:rsid w:val="00E861DE"/>
    <w:rsid w:val="00E8654A"/>
    <w:rsid w:val="00E909AE"/>
    <w:rsid w:val="00E910B8"/>
    <w:rsid w:val="00E91AD0"/>
    <w:rsid w:val="00E937D2"/>
    <w:rsid w:val="00E94597"/>
    <w:rsid w:val="00E95BB2"/>
    <w:rsid w:val="00EA4002"/>
    <w:rsid w:val="00EA6CF6"/>
    <w:rsid w:val="00EA7AAF"/>
    <w:rsid w:val="00EB08D5"/>
    <w:rsid w:val="00EB0EB2"/>
    <w:rsid w:val="00EB18F4"/>
    <w:rsid w:val="00EB1F1F"/>
    <w:rsid w:val="00EB3C7A"/>
    <w:rsid w:val="00EB5550"/>
    <w:rsid w:val="00EB77E7"/>
    <w:rsid w:val="00EC0027"/>
    <w:rsid w:val="00EC0BDA"/>
    <w:rsid w:val="00EC1D99"/>
    <w:rsid w:val="00EC212E"/>
    <w:rsid w:val="00EC2567"/>
    <w:rsid w:val="00EC2BCE"/>
    <w:rsid w:val="00EC439C"/>
    <w:rsid w:val="00EC58C7"/>
    <w:rsid w:val="00EC5B52"/>
    <w:rsid w:val="00ED179D"/>
    <w:rsid w:val="00ED1D3D"/>
    <w:rsid w:val="00ED3C50"/>
    <w:rsid w:val="00ED3EE8"/>
    <w:rsid w:val="00ED480F"/>
    <w:rsid w:val="00ED490E"/>
    <w:rsid w:val="00ED4FA2"/>
    <w:rsid w:val="00EE0802"/>
    <w:rsid w:val="00EE0D59"/>
    <w:rsid w:val="00EE1A58"/>
    <w:rsid w:val="00EE1F99"/>
    <w:rsid w:val="00EE2D90"/>
    <w:rsid w:val="00EE304B"/>
    <w:rsid w:val="00EE3B0B"/>
    <w:rsid w:val="00EE78D9"/>
    <w:rsid w:val="00EE799F"/>
    <w:rsid w:val="00EE7F80"/>
    <w:rsid w:val="00EF152B"/>
    <w:rsid w:val="00EF3318"/>
    <w:rsid w:val="00EF38D8"/>
    <w:rsid w:val="00EF431E"/>
    <w:rsid w:val="00EF5AED"/>
    <w:rsid w:val="00EF635A"/>
    <w:rsid w:val="00EF7A24"/>
    <w:rsid w:val="00F000E4"/>
    <w:rsid w:val="00F03A93"/>
    <w:rsid w:val="00F04C71"/>
    <w:rsid w:val="00F054E4"/>
    <w:rsid w:val="00F060D4"/>
    <w:rsid w:val="00F0621D"/>
    <w:rsid w:val="00F063E1"/>
    <w:rsid w:val="00F0795B"/>
    <w:rsid w:val="00F108A6"/>
    <w:rsid w:val="00F1542B"/>
    <w:rsid w:val="00F1785C"/>
    <w:rsid w:val="00F20887"/>
    <w:rsid w:val="00F231A3"/>
    <w:rsid w:val="00F238BF"/>
    <w:rsid w:val="00F2642F"/>
    <w:rsid w:val="00F332AE"/>
    <w:rsid w:val="00F35EEE"/>
    <w:rsid w:val="00F362B2"/>
    <w:rsid w:val="00F3726C"/>
    <w:rsid w:val="00F4343C"/>
    <w:rsid w:val="00F4420C"/>
    <w:rsid w:val="00F444FE"/>
    <w:rsid w:val="00F4651F"/>
    <w:rsid w:val="00F5231D"/>
    <w:rsid w:val="00F53C29"/>
    <w:rsid w:val="00F53F7A"/>
    <w:rsid w:val="00F55857"/>
    <w:rsid w:val="00F55DA2"/>
    <w:rsid w:val="00F60A2F"/>
    <w:rsid w:val="00F6172B"/>
    <w:rsid w:val="00F6172E"/>
    <w:rsid w:val="00F626CA"/>
    <w:rsid w:val="00F62E3C"/>
    <w:rsid w:val="00F66D14"/>
    <w:rsid w:val="00F66D30"/>
    <w:rsid w:val="00F800A2"/>
    <w:rsid w:val="00F806D3"/>
    <w:rsid w:val="00F843DD"/>
    <w:rsid w:val="00F85014"/>
    <w:rsid w:val="00F91B66"/>
    <w:rsid w:val="00F91DEB"/>
    <w:rsid w:val="00F92014"/>
    <w:rsid w:val="00F92374"/>
    <w:rsid w:val="00FA00F0"/>
    <w:rsid w:val="00FA1138"/>
    <w:rsid w:val="00FA21DD"/>
    <w:rsid w:val="00FA302A"/>
    <w:rsid w:val="00FA4DFC"/>
    <w:rsid w:val="00FA757F"/>
    <w:rsid w:val="00FB12C6"/>
    <w:rsid w:val="00FB4CA3"/>
    <w:rsid w:val="00FB5EAD"/>
    <w:rsid w:val="00FB645E"/>
    <w:rsid w:val="00FB66B6"/>
    <w:rsid w:val="00FC2DDA"/>
    <w:rsid w:val="00FC37DF"/>
    <w:rsid w:val="00FC4223"/>
    <w:rsid w:val="00FC4B07"/>
    <w:rsid w:val="00FC672E"/>
    <w:rsid w:val="00FD0778"/>
    <w:rsid w:val="00FD0D31"/>
    <w:rsid w:val="00FD1BF0"/>
    <w:rsid w:val="00FD3ED2"/>
    <w:rsid w:val="00FD5E79"/>
    <w:rsid w:val="00FE1BBE"/>
    <w:rsid w:val="00FE2F03"/>
    <w:rsid w:val="00FE3F04"/>
    <w:rsid w:val="00FE55D3"/>
    <w:rsid w:val="00FE602F"/>
    <w:rsid w:val="00FF1F51"/>
    <w:rsid w:val="00FF2BC7"/>
    <w:rsid w:val="00FF2FA9"/>
    <w:rsid w:val="00FF6DA9"/>
    <w:rsid w:val="00FF7175"/>
    <w:rsid w:val="00FF72E3"/>
    <w:rsid w:val="01F0DBD0"/>
    <w:rsid w:val="02984D34"/>
    <w:rsid w:val="0BCFD557"/>
    <w:rsid w:val="0C2D30EB"/>
    <w:rsid w:val="15725665"/>
    <w:rsid w:val="216C3257"/>
    <w:rsid w:val="2521D762"/>
    <w:rsid w:val="2528A97F"/>
    <w:rsid w:val="28982589"/>
    <w:rsid w:val="2AAC1596"/>
    <w:rsid w:val="2DAB3D1D"/>
    <w:rsid w:val="2FB09E99"/>
    <w:rsid w:val="3363D0E2"/>
    <w:rsid w:val="34F87BC0"/>
    <w:rsid w:val="36BC85FB"/>
    <w:rsid w:val="382157AE"/>
    <w:rsid w:val="3B5EB017"/>
    <w:rsid w:val="3C8C91EB"/>
    <w:rsid w:val="3F4E79C4"/>
    <w:rsid w:val="4522FA5A"/>
    <w:rsid w:val="4D18843A"/>
    <w:rsid w:val="53D2774B"/>
    <w:rsid w:val="54480F9B"/>
    <w:rsid w:val="566469C3"/>
    <w:rsid w:val="5781CBEB"/>
    <w:rsid w:val="58945B3D"/>
    <w:rsid w:val="5C1514E2"/>
    <w:rsid w:val="5D266B87"/>
    <w:rsid w:val="613EAE08"/>
    <w:rsid w:val="63A42D9F"/>
    <w:rsid w:val="643F5009"/>
    <w:rsid w:val="65DA8270"/>
    <w:rsid w:val="68F02D17"/>
    <w:rsid w:val="6B946857"/>
    <w:rsid w:val="6C3B947C"/>
    <w:rsid w:val="6C6A8509"/>
    <w:rsid w:val="6DADF48E"/>
    <w:rsid w:val="70BBABDF"/>
    <w:rsid w:val="769DDA05"/>
    <w:rsid w:val="7D1103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0F79"/>
  <w15:chartTrackingRefBased/>
  <w15:docId w15:val="{A4DE6835-EF56-43AF-9583-3E138DD1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7D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6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16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013D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013D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A117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B1B"/>
    <w:pPr>
      <w:ind w:left="720"/>
      <w:contextualSpacing/>
    </w:pPr>
  </w:style>
  <w:style w:type="table" w:styleId="TableGrid">
    <w:name w:val="Table Grid"/>
    <w:basedOn w:val="TableNormal"/>
    <w:uiPriority w:val="39"/>
    <w:rsid w:val="00E6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1E8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A7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83C"/>
  </w:style>
  <w:style w:type="paragraph" w:styleId="Footer">
    <w:name w:val="footer"/>
    <w:basedOn w:val="Normal"/>
    <w:link w:val="FooterChar"/>
    <w:uiPriority w:val="99"/>
    <w:unhideWhenUsed/>
    <w:rsid w:val="003A7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83C"/>
  </w:style>
  <w:style w:type="character" w:styleId="CommentReference">
    <w:name w:val="annotation reference"/>
    <w:basedOn w:val="DefaultParagraphFont"/>
    <w:uiPriority w:val="99"/>
    <w:semiHidden/>
    <w:unhideWhenUsed/>
    <w:rsid w:val="00F4343C"/>
    <w:rPr>
      <w:sz w:val="16"/>
      <w:szCs w:val="16"/>
    </w:rPr>
  </w:style>
  <w:style w:type="paragraph" w:styleId="CommentText">
    <w:name w:val="annotation text"/>
    <w:basedOn w:val="Normal"/>
    <w:link w:val="CommentTextChar"/>
    <w:uiPriority w:val="99"/>
    <w:unhideWhenUsed/>
    <w:rsid w:val="00F4343C"/>
    <w:pPr>
      <w:spacing w:line="240" w:lineRule="auto"/>
    </w:pPr>
    <w:rPr>
      <w:sz w:val="20"/>
      <w:szCs w:val="20"/>
    </w:rPr>
  </w:style>
  <w:style w:type="character" w:customStyle="1" w:styleId="CommentTextChar">
    <w:name w:val="Comment Text Char"/>
    <w:basedOn w:val="DefaultParagraphFont"/>
    <w:link w:val="CommentText"/>
    <w:uiPriority w:val="99"/>
    <w:rsid w:val="00F4343C"/>
    <w:rPr>
      <w:sz w:val="20"/>
      <w:szCs w:val="20"/>
    </w:rPr>
  </w:style>
  <w:style w:type="paragraph" w:styleId="CommentSubject">
    <w:name w:val="annotation subject"/>
    <w:basedOn w:val="CommentText"/>
    <w:next w:val="CommentText"/>
    <w:link w:val="CommentSubjectChar"/>
    <w:uiPriority w:val="99"/>
    <w:semiHidden/>
    <w:unhideWhenUsed/>
    <w:rsid w:val="00F4343C"/>
    <w:rPr>
      <w:b/>
      <w:bCs/>
    </w:rPr>
  </w:style>
  <w:style w:type="character" w:customStyle="1" w:styleId="CommentSubjectChar">
    <w:name w:val="Comment Subject Char"/>
    <w:basedOn w:val="CommentTextChar"/>
    <w:link w:val="CommentSubject"/>
    <w:uiPriority w:val="99"/>
    <w:semiHidden/>
    <w:rsid w:val="00F4343C"/>
    <w:rPr>
      <w:b/>
      <w:bCs/>
      <w:sz w:val="20"/>
      <w:szCs w:val="20"/>
    </w:rPr>
  </w:style>
  <w:style w:type="paragraph" w:styleId="BalloonText">
    <w:name w:val="Balloon Text"/>
    <w:basedOn w:val="Normal"/>
    <w:link w:val="BalloonTextChar"/>
    <w:uiPriority w:val="99"/>
    <w:semiHidden/>
    <w:unhideWhenUsed/>
    <w:rsid w:val="00F43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3C"/>
    <w:rPr>
      <w:rFonts w:ascii="Segoe UI" w:hAnsi="Segoe UI" w:cs="Segoe UI"/>
      <w:sz w:val="18"/>
      <w:szCs w:val="18"/>
    </w:rPr>
  </w:style>
  <w:style w:type="paragraph" w:styleId="NoSpacing">
    <w:name w:val="No Spacing"/>
    <w:uiPriority w:val="1"/>
    <w:qFormat/>
    <w:rsid w:val="0092679E"/>
    <w:pPr>
      <w:spacing w:after="0" w:line="240" w:lineRule="auto"/>
    </w:pPr>
  </w:style>
  <w:style w:type="paragraph" w:styleId="Revision">
    <w:name w:val="Revision"/>
    <w:hidden/>
    <w:uiPriority w:val="99"/>
    <w:semiHidden/>
    <w:rsid w:val="00EC1D99"/>
    <w:pPr>
      <w:spacing w:after="0" w:line="240" w:lineRule="auto"/>
    </w:pPr>
  </w:style>
  <w:style w:type="character" w:customStyle="1" w:styleId="Heading1Char">
    <w:name w:val="Heading 1 Char"/>
    <w:basedOn w:val="DefaultParagraphFont"/>
    <w:link w:val="Heading1"/>
    <w:uiPriority w:val="9"/>
    <w:rsid w:val="00B87D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7D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16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1698"/>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71698"/>
    <w:pPr>
      <w:outlineLvl w:val="9"/>
    </w:pPr>
    <w:rPr>
      <w:lang w:val="en-US"/>
    </w:rPr>
  </w:style>
  <w:style w:type="paragraph" w:styleId="TOC1">
    <w:name w:val="toc 1"/>
    <w:basedOn w:val="Normal"/>
    <w:next w:val="Normal"/>
    <w:autoRedefine/>
    <w:uiPriority w:val="39"/>
    <w:unhideWhenUsed/>
    <w:rsid w:val="003D5B4D"/>
    <w:pPr>
      <w:tabs>
        <w:tab w:val="right" w:leader="dot" w:pos="9016"/>
      </w:tabs>
      <w:spacing w:after="100"/>
    </w:pPr>
  </w:style>
  <w:style w:type="paragraph" w:styleId="TOC2">
    <w:name w:val="toc 2"/>
    <w:basedOn w:val="Normal"/>
    <w:next w:val="Normal"/>
    <w:autoRedefine/>
    <w:uiPriority w:val="39"/>
    <w:unhideWhenUsed/>
    <w:rsid w:val="009D7723"/>
    <w:pPr>
      <w:tabs>
        <w:tab w:val="right" w:leader="dot" w:pos="9016"/>
      </w:tabs>
      <w:spacing w:after="100"/>
      <w:ind w:left="220"/>
    </w:pPr>
  </w:style>
  <w:style w:type="paragraph" w:styleId="TOC3">
    <w:name w:val="toc 3"/>
    <w:basedOn w:val="Normal"/>
    <w:next w:val="Normal"/>
    <w:autoRedefine/>
    <w:uiPriority w:val="39"/>
    <w:unhideWhenUsed/>
    <w:rsid w:val="00371698"/>
    <w:pPr>
      <w:spacing w:after="100"/>
      <w:ind w:left="440"/>
    </w:pPr>
  </w:style>
  <w:style w:type="character" w:styleId="Hyperlink">
    <w:name w:val="Hyperlink"/>
    <w:basedOn w:val="DefaultParagraphFont"/>
    <w:uiPriority w:val="99"/>
    <w:unhideWhenUsed/>
    <w:rsid w:val="00371698"/>
    <w:rPr>
      <w:color w:val="0563C1" w:themeColor="hyperlink"/>
      <w:u w:val="single"/>
    </w:rPr>
  </w:style>
  <w:style w:type="character" w:styleId="UnresolvedMention">
    <w:name w:val="Unresolved Mention"/>
    <w:basedOn w:val="DefaultParagraphFont"/>
    <w:uiPriority w:val="99"/>
    <w:semiHidden/>
    <w:unhideWhenUsed/>
    <w:rsid w:val="00DD7D66"/>
    <w:rPr>
      <w:color w:val="605E5C"/>
      <w:shd w:val="clear" w:color="auto" w:fill="E1DFDD"/>
    </w:rPr>
  </w:style>
  <w:style w:type="character" w:customStyle="1" w:styleId="Heading5Char">
    <w:name w:val="Heading 5 Char"/>
    <w:basedOn w:val="DefaultParagraphFont"/>
    <w:link w:val="Heading5"/>
    <w:uiPriority w:val="9"/>
    <w:rsid w:val="00B013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013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A117C"/>
    <w:rPr>
      <w:rFonts w:asciiTheme="majorHAnsi" w:eastAsiaTheme="majorEastAsia" w:hAnsiTheme="majorHAnsi" w:cstheme="majorBidi"/>
      <w:i/>
      <w:iCs/>
      <w:color w:val="1F4D78" w:themeColor="accent1" w:themeShade="7F"/>
    </w:rPr>
  </w:style>
  <w:style w:type="paragraph" w:customStyle="1" w:styleId="DecimalAligned">
    <w:name w:val="Decimal Aligned"/>
    <w:basedOn w:val="Normal"/>
    <w:uiPriority w:val="40"/>
    <w:qFormat/>
    <w:rsid w:val="00DC5156"/>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DC5156"/>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DC5156"/>
    <w:rPr>
      <w:rFonts w:eastAsiaTheme="minorEastAsia" w:cs="Times New Roman"/>
      <w:sz w:val="20"/>
      <w:szCs w:val="20"/>
      <w:lang w:val="en-US"/>
    </w:rPr>
  </w:style>
  <w:style w:type="character" w:styleId="SubtleEmphasis">
    <w:name w:val="Subtle Emphasis"/>
    <w:basedOn w:val="DefaultParagraphFont"/>
    <w:uiPriority w:val="19"/>
    <w:qFormat/>
    <w:rsid w:val="00DC5156"/>
    <w:rPr>
      <w:i/>
      <w:iCs/>
    </w:rPr>
  </w:style>
  <w:style w:type="table" w:styleId="MediumShading2-Accent5">
    <w:name w:val="Medium Shading 2 Accent 5"/>
    <w:basedOn w:val="TableNormal"/>
    <w:uiPriority w:val="64"/>
    <w:rsid w:val="00DC5156"/>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E0D59"/>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97028F"/>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Light">
    <w:name w:val="Grid Table Light"/>
    <w:basedOn w:val="TableNormal"/>
    <w:uiPriority w:val="40"/>
    <w:rsid w:val="000C4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C44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C44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C448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44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C448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22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C93266"/>
    <w:rPr>
      <w:color w:val="954F72" w:themeColor="followedHyperlink"/>
      <w:u w:val="single"/>
    </w:rPr>
  </w:style>
  <w:style w:type="character" w:customStyle="1" w:styleId="cf01">
    <w:name w:val="cf01"/>
    <w:basedOn w:val="DefaultParagraphFont"/>
    <w:rsid w:val="002E09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7">
      <w:bodyDiv w:val="1"/>
      <w:marLeft w:val="0"/>
      <w:marRight w:val="0"/>
      <w:marTop w:val="0"/>
      <w:marBottom w:val="0"/>
      <w:divBdr>
        <w:top w:val="none" w:sz="0" w:space="0" w:color="auto"/>
        <w:left w:val="none" w:sz="0" w:space="0" w:color="auto"/>
        <w:bottom w:val="none" w:sz="0" w:space="0" w:color="auto"/>
        <w:right w:val="none" w:sz="0" w:space="0" w:color="auto"/>
      </w:divBdr>
    </w:div>
    <w:div w:id="430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contact-us/complai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s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so.org.uk/sites/spso/files/csa/Alternative%20Complaint%20Resolution%20Approach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Month</a:t>
            </a:r>
            <a:r>
              <a:rPr lang="en-GB" baseline="0"/>
              <a:t> in which complaints were received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spPr>
            <a:ln w="19050" cap="rnd" cmpd="sng" algn="ctr">
              <a:solidFill>
                <a:schemeClr val="accent5"/>
              </a:solidFill>
              <a:prstDash val="solid"/>
              <a:round/>
            </a:ln>
            <a:effectLst/>
          </c:spPr>
          <c:marker>
            <c:symbol val="none"/>
          </c:marker>
          <c:cat>
            <c:numRef>
              <c:f>'[Chart in Microsoft Word]Sheet1'!$A$71:$A$82</c:f>
              <c:numCache>
                <c:formatCode>mmm\-yy</c:formatCode>
                <c:ptCount val="12"/>
                <c:pt idx="0">
                  <c:v>44774</c:v>
                </c:pt>
                <c:pt idx="1">
                  <c:v>44805</c:v>
                </c:pt>
                <c:pt idx="2">
                  <c:v>44835</c:v>
                </c:pt>
                <c:pt idx="3">
                  <c:v>44866</c:v>
                </c:pt>
                <c:pt idx="4">
                  <c:v>44896</c:v>
                </c:pt>
                <c:pt idx="5">
                  <c:v>44927</c:v>
                </c:pt>
                <c:pt idx="6">
                  <c:v>44958</c:v>
                </c:pt>
                <c:pt idx="7">
                  <c:v>44986</c:v>
                </c:pt>
                <c:pt idx="8">
                  <c:v>45017</c:v>
                </c:pt>
                <c:pt idx="9">
                  <c:v>45047</c:v>
                </c:pt>
                <c:pt idx="10">
                  <c:v>45078</c:v>
                </c:pt>
                <c:pt idx="11">
                  <c:v>45108</c:v>
                </c:pt>
              </c:numCache>
            </c:numRef>
          </c:cat>
          <c:val>
            <c:numRef>
              <c:f>'[Chart in Microsoft Word]Sheet1'!$B$71:$B$82</c:f>
              <c:numCache>
                <c:formatCode>General</c:formatCode>
                <c:ptCount val="12"/>
                <c:pt idx="0">
                  <c:v>19</c:v>
                </c:pt>
                <c:pt idx="1">
                  <c:v>60</c:v>
                </c:pt>
                <c:pt idx="2">
                  <c:v>32</c:v>
                </c:pt>
                <c:pt idx="3">
                  <c:v>19</c:v>
                </c:pt>
                <c:pt idx="4">
                  <c:v>20</c:v>
                </c:pt>
                <c:pt idx="5">
                  <c:v>20</c:v>
                </c:pt>
                <c:pt idx="6">
                  <c:v>24</c:v>
                </c:pt>
                <c:pt idx="7">
                  <c:v>22</c:v>
                </c:pt>
                <c:pt idx="8">
                  <c:v>10</c:v>
                </c:pt>
                <c:pt idx="9">
                  <c:v>18</c:v>
                </c:pt>
                <c:pt idx="10">
                  <c:v>24</c:v>
                </c:pt>
                <c:pt idx="11">
                  <c:v>15</c:v>
                </c:pt>
              </c:numCache>
            </c:numRef>
          </c:val>
          <c:smooth val="0"/>
          <c:extLst>
            <c:ext xmlns:c16="http://schemas.microsoft.com/office/drawing/2014/chart" uri="{C3380CC4-5D6E-409C-BE32-E72D297353CC}">
              <c16:uniqueId val="{00000000-F131-488C-8DE0-0A737B2ACDD5}"/>
            </c:ext>
          </c:extLst>
        </c:ser>
        <c:ser>
          <c:idx val="0"/>
          <c:order val="1"/>
          <c:spPr>
            <a:ln w="19050" cap="rnd" cmpd="sng" algn="ctr">
              <a:solidFill>
                <a:schemeClr val="accent6"/>
              </a:solidFill>
              <a:prstDash val="solid"/>
              <a:round/>
            </a:ln>
            <a:effectLst/>
          </c:spPr>
          <c:marker>
            <c:symbol val="none"/>
          </c:marker>
          <c:cat>
            <c:numRef>
              <c:f>'[Chart in Microsoft Word]Sheet1'!$A$71:$A$82</c:f>
              <c:numCache>
                <c:formatCode>mmm\-yy</c:formatCode>
                <c:ptCount val="12"/>
                <c:pt idx="0">
                  <c:v>44774</c:v>
                </c:pt>
                <c:pt idx="1">
                  <c:v>44805</c:v>
                </c:pt>
                <c:pt idx="2">
                  <c:v>44835</c:v>
                </c:pt>
                <c:pt idx="3">
                  <c:v>44866</c:v>
                </c:pt>
                <c:pt idx="4">
                  <c:v>44896</c:v>
                </c:pt>
                <c:pt idx="5">
                  <c:v>44927</c:v>
                </c:pt>
                <c:pt idx="6">
                  <c:v>44958</c:v>
                </c:pt>
                <c:pt idx="7">
                  <c:v>44986</c:v>
                </c:pt>
                <c:pt idx="8">
                  <c:v>45017</c:v>
                </c:pt>
                <c:pt idx="9">
                  <c:v>45047</c:v>
                </c:pt>
                <c:pt idx="10">
                  <c:v>45078</c:v>
                </c:pt>
                <c:pt idx="11">
                  <c:v>45108</c:v>
                </c:pt>
              </c:numCache>
            </c:numRef>
          </c:cat>
          <c:val>
            <c:numRef>
              <c:f>'[Chart in Microsoft Word]Sheet1'!$B$71:$B$82</c:f>
              <c:numCache>
                <c:formatCode>General</c:formatCode>
                <c:ptCount val="12"/>
                <c:pt idx="0">
                  <c:v>19</c:v>
                </c:pt>
                <c:pt idx="1">
                  <c:v>60</c:v>
                </c:pt>
                <c:pt idx="2">
                  <c:v>32</c:v>
                </c:pt>
                <c:pt idx="3">
                  <c:v>19</c:v>
                </c:pt>
                <c:pt idx="4">
                  <c:v>20</c:v>
                </c:pt>
                <c:pt idx="5">
                  <c:v>20</c:v>
                </c:pt>
                <c:pt idx="6">
                  <c:v>24</c:v>
                </c:pt>
                <c:pt idx="7">
                  <c:v>22</c:v>
                </c:pt>
                <c:pt idx="8">
                  <c:v>10</c:v>
                </c:pt>
                <c:pt idx="9">
                  <c:v>18</c:v>
                </c:pt>
                <c:pt idx="10">
                  <c:v>24</c:v>
                </c:pt>
                <c:pt idx="11">
                  <c:v>15</c:v>
                </c:pt>
              </c:numCache>
            </c:numRef>
          </c:val>
          <c:smooth val="0"/>
          <c:extLst>
            <c:ext xmlns:c16="http://schemas.microsoft.com/office/drawing/2014/chart" uri="{C3380CC4-5D6E-409C-BE32-E72D297353CC}">
              <c16:uniqueId val="{00000001-F131-488C-8DE0-0A737B2ACDD5}"/>
            </c:ext>
          </c:extLst>
        </c:ser>
        <c:dLbls>
          <c:showLegendKey val="0"/>
          <c:showVal val="0"/>
          <c:showCatName val="0"/>
          <c:showSerName val="0"/>
          <c:showPercent val="0"/>
          <c:showBubbleSize val="0"/>
        </c:dLbls>
        <c:smooth val="0"/>
        <c:axId val="1017415919"/>
        <c:axId val="1014814287"/>
      </c:lineChart>
      <c:catAx>
        <c:axId val="101741591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814287"/>
        <c:crosses val="autoZero"/>
        <c:auto val="0"/>
        <c:lblAlgn val="ctr"/>
        <c:lblOffset val="100"/>
        <c:noMultiLvlLbl val="0"/>
      </c:catAx>
      <c:valAx>
        <c:axId val="101481428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415919"/>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Categories</a:t>
            </a:r>
            <a:r>
              <a:rPr lang="en-GB" baseline="0"/>
              <a:t> of Complaints 2022-23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6425464932983698"/>
          <c:y val="0.12427975835794672"/>
          <c:w val="0.59908468063334508"/>
          <c:h val="0.81789562027350726"/>
        </c:manualLayout>
      </c:layout>
      <c:barChart>
        <c:barDir val="bar"/>
        <c:grouping val="clustered"/>
        <c:varyColors val="0"/>
        <c:ser>
          <c:idx val="0"/>
          <c:order val="0"/>
          <c:spPr>
            <a:solidFill>
              <a:schemeClr val="accent6"/>
            </a:solidFill>
            <a:ln>
              <a:noFill/>
            </a:ln>
            <a:effectLst/>
          </c:spPr>
          <c:invertIfNegative val="0"/>
          <c:cat>
            <c:strRef>
              <c:f>'[Chart in Microsoft Word]Sheet1'!$B$13:$B$24</c:f>
              <c:strCache>
                <c:ptCount val="12"/>
                <c:pt idx="0">
                  <c:v>Student Conduct</c:v>
                </c:pt>
                <c:pt idx="1">
                  <c:v>Staff</c:v>
                </c:pt>
                <c:pt idx="2">
                  <c:v>Service Delivery</c:v>
                </c:pt>
                <c:pt idx="3">
                  <c:v>Teaching or assessment arrangements</c:v>
                </c:pt>
                <c:pt idx="4">
                  <c:v>Learning / teaching resources or facilities </c:v>
                </c:pt>
                <c:pt idx="5">
                  <c:v>Campus Facilities</c:v>
                </c:pt>
                <c:pt idx="6">
                  <c:v>Student accommodation provision &amp; facilities</c:v>
                </c:pt>
                <c:pt idx="7">
                  <c:v>Student support provision</c:v>
                </c:pt>
                <c:pt idx="8">
                  <c:v>Accessibility</c:v>
                </c:pt>
                <c:pt idx="9">
                  <c:v>Equality, Diversity and Inclusion concerns</c:v>
                </c:pt>
                <c:pt idx="10">
                  <c:v>University policy or procedure </c:v>
                </c:pt>
                <c:pt idx="11">
                  <c:v>Other</c:v>
                </c:pt>
              </c:strCache>
            </c:strRef>
          </c:cat>
          <c:val>
            <c:numRef>
              <c:f>'[Chart in Microsoft Word]Sheet1'!$C$13:$C$24</c:f>
              <c:numCache>
                <c:formatCode>General</c:formatCode>
                <c:ptCount val="12"/>
                <c:pt idx="0">
                  <c:v>16</c:v>
                </c:pt>
                <c:pt idx="1">
                  <c:v>18</c:v>
                </c:pt>
                <c:pt idx="2">
                  <c:v>58</c:v>
                </c:pt>
                <c:pt idx="3">
                  <c:v>24</c:v>
                </c:pt>
                <c:pt idx="4">
                  <c:v>0</c:v>
                </c:pt>
                <c:pt idx="5">
                  <c:v>25</c:v>
                </c:pt>
                <c:pt idx="6">
                  <c:v>11</c:v>
                </c:pt>
                <c:pt idx="7">
                  <c:v>4</c:v>
                </c:pt>
                <c:pt idx="8">
                  <c:v>1</c:v>
                </c:pt>
                <c:pt idx="9">
                  <c:v>4</c:v>
                </c:pt>
                <c:pt idx="10">
                  <c:v>101</c:v>
                </c:pt>
                <c:pt idx="11">
                  <c:v>1</c:v>
                </c:pt>
              </c:numCache>
            </c:numRef>
          </c:val>
          <c:extLst>
            <c:ext xmlns:c16="http://schemas.microsoft.com/office/drawing/2014/chart" uri="{C3380CC4-5D6E-409C-BE32-E72D297353CC}">
              <c16:uniqueId val="{00000000-6F16-473E-8529-EC887D70C6D4}"/>
            </c:ext>
          </c:extLst>
        </c:ser>
        <c:dLbls>
          <c:showLegendKey val="0"/>
          <c:showVal val="0"/>
          <c:showCatName val="0"/>
          <c:showSerName val="0"/>
          <c:showPercent val="0"/>
          <c:showBubbleSize val="0"/>
        </c:dLbls>
        <c:gapWidth val="182"/>
        <c:axId val="1020988095"/>
        <c:axId val="793649903"/>
      </c:barChart>
      <c:catAx>
        <c:axId val="102098809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649903"/>
        <c:crosses val="autoZero"/>
        <c:auto val="1"/>
        <c:lblAlgn val="ctr"/>
        <c:lblOffset val="100"/>
        <c:noMultiLvlLbl val="0"/>
      </c:catAx>
      <c:valAx>
        <c:axId val="793649903"/>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98809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Cheryl Rayment</DisplayName>
        <AccountId>365</AccountId>
        <AccountType/>
      </UserInfo>
      <UserInfo>
        <DisplayName>Academic Registrar</DisplayName>
        <AccountId>76</AccountId>
        <AccountType/>
      </UserInfo>
      <UserInfo>
        <DisplayName>Erin Russell</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C3990-920B-4E50-8970-EDB25341C9AA}">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AF47252C-7304-46D9-ADFC-EDB6DE050AB7}">
  <ds:schemaRefs>
    <ds:schemaRef ds:uri="http://schemas.openxmlformats.org/officeDocument/2006/bibliography"/>
  </ds:schemaRefs>
</ds:datastoreItem>
</file>

<file path=customXml/itemProps3.xml><?xml version="1.0" encoding="utf-8"?>
<ds:datastoreItem xmlns:ds="http://schemas.openxmlformats.org/officeDocument/2006/customXml" ds:itemID="{F2FE662A-4E70-4CE0-A87C-BA660DA2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D1679-7FE4-4A44-9616-2A10FF793CB4}">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McWilliams</dc:creator>
  <cp:keywords/>
  <dc:description/>
  <cp:lastModifiedBy>Erin Russell</cp:lastModifiedBy>
  <cp:revision>2</cp:revision>
  <dcterms:created xsi:type="dcterms:W3CDTF">2024-04-19T16:03:00Z</dcterms:created>
  <dcterms:modified xsi:type="dcterms:W3CDTF">2024-04-19T16:03:00Z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