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7DFC" w14:textId="77777777" w:rsidR="00B10944" w:rsidRDefault="00B10944" w:rsidP="00910D8D">
      <w:pPr>
        <w:spacing w:after="0" w:line="240" w:lineRule="auto"/>
        <w:jc w:val="center"/>
        <w:rPr>
          <w:rFonts w:cstheme="minorHAnsi"/>
          <w:b/>
          <w:sz w:val="28"/>
          <w:szCs w:val="28"/>
        </w:rPr>
      </w:pPr>
      <w:r w:rsidRPr="0076591C">
        <w:rPr>
          <w:rFonts w:cstheme="minorHAnsi"/>
          <w:b/>
          <w:sz w:val="28"/>
          <w:szCs w:val="28"/>
        </w:rPr>
        <w:t>UNIVERSITY OF STIRLING</w:t>
      </w:r>
    </w:p>
    <w:p w14:paraId="576E7DFD" w14:textId="77777777" w:rsidR="007278B9" w:rsidRPr="0076591C" w:rsidRDefault="007278B9" w:rsidP="00910D8D">
      <w:pPr>
        <w:spacing w:after="0" w:line="240" w:lineRule="auto"/>
        <w:jc w:val="center"/>
        <w:rPr>
          <w:rFonts w:cstheme="minorHAnsi"/>
          <w:b/>
          <w:sz w:val="28"/>
          <w:szCs w:val="28"/>
        </w:rPr>
      </w:pPr>
    </w:p>
    <w:p w14:paraId="576E7DFE" w14:textId="77777777" w:rsidR="00280D1A" w:rsidRPr="0076591C" w:rsidRDefault="00620ACF" w:rsidP="00910D8D">
      <w:pPr>
        <w:spacing w:after="0" w:line="240" w:lineRule="auto"/>
        <w:jc w:val="center"/>
        <w:rPr>
          <w:rFonts w:cstheme="minorHAnsi"/>
          <w:b/>
          <w:sz w:val="24"/>
          <w:szCs w:val="24"/>
        </w:rPr>
      </w:pPr>
      <w:r w:rsidRPr="0076591C">
        <w:rPr>
          <w:rFonts w:cstheme="minorHAnsi"/>
          <w:b/>
          <w:sz w:val="24"/>
          <w:szCs w:val="24"/>
        </w:rPr>
        <w:t xml:space="preserve">UNIVERSITY </w:t>
      </w:r>
      <w:r w:rsidR="00577B62">
        <w:rPr>
          <w:rFonts w:cstheme="minorHAnsi"/>
          <w:b/>
          <w:sz w:val="24"/>
          <w:szCs w:val="24"/>
        </w:rPr>
        <w:t>COURT</w:t>
      </w:r>
    </w:p>
    <w:p w14:paraId="576E7DFF" w14:textId="77777777" w:rsidR="00F93472" w:rsidRPr="0076591C" w:rsidRDefault="00F93472" w:rsidP="00910D8D">
      <w:pPr>
        <w:spacing w:after="0" w:line="240" w:lineRule="auto"/>
        <w:jc w:val="center"/>
        <w:rPr>
          <w:rFonts w:cstheme="minorHAnsi"/>
          <w:b/>
          <w:sz w:val="24"/>
          <w:szCs w:val="24"/>
        </w:rPr>
      </w:pPr>
    </w:p>
    <w:p w14:paraId="576E7E00" w14:textId="77777777" w:rsidR="00577B62" w:rsidRDefault="00BD3028" w:rsidP="00910D8D">
      <w:pPr>
        <w:spacing w:after="0" w:line="240" w:lineRule="auto"/>
        <w:jc w:val="center"/>
        <w:rPr>
          <w:rFonts w:cstheme="minorHAnsi"/>
          <w:b/>
          <w:sz w:val="24"/>
          <w:szCs w:val="24"/>
        </w:rPr>
      </w:pPr>
      <w:r>
        <w:rPr>
          <w:rFonts w:cstheme="minorHAnsi"/>
          <w:b/>
          <w:sz w:val="24"/>
          <w:szCs w:val="24"/>
        </w:rPr>
        <w:t>Summary o</w:t>
      </w:r>
      <w:r w:rsidR="00577B62">
        <w:rPr>
          <w:rFonts w:cstheme="minorHAnsi"/>
          <w:b/>
          <w:sz w:val="24"/>
          <w:szCs w:val="24"/>
        </w:rPr>
        <w:t xml:space="preserve">f Outcomes from the Quinquennial Governance </w:t>
      </w:r>
    </w:p>
    <w:p w14:paraId="576E7E01" w14:textId="77777777" w:rsidR="00F93472" w:rsidRPr="0076591C" w:rsidRDefault="00577B62" w:rsidP="00910D8D">
      <w:pPr>
        <w:spacing w:after="0" w:line="240" w:lineRule="auto"/>
        <w:jc w:val="center"/>
        <w:rPr>
          <w:rFonts w:cstheme="minorHAnsi"/>
          <w:b/>
          <w:sz w:val="24"/>
          <w:szCs w:val="24"/>
        </w:rPr>
      </w:pPr>
      <w:r>
        <w:rPr>
          <w:rFonts w:cstheme="minorHAnsi"/>
          <w:b/>
          <w:sz w:val="24"/>
          <w:szCs w:val="24"/>
        </w:rPr>
        <w:t>Effectiveness Review Report</w:t>
      </w:r>
      <w:r w:rsidR="00C433E6">
        <w:rPr>
          <w:rFonts w:cstheme="minorHAnsi"/>
          <w:b/>
          <w:sz w:val="24"/>
          <w:szCs w:val="24"/>
        </w:rPr>
        <w:t xml:space="preserve"> 2017</w:t>
      </w:r>
    </w:p>
    <w:p w14:paraId="576E7E02" w14:textId="77777777" w:rsidR="00910D8D" w:rsidRPr="0076591C" w:rsidRDefault="00910D8D" w:rsidP="00910D8D">
      <w:pPr>
        <w:spacing w:after="0" w:line="240" w:lineRule="auto"/>
        <w:jc w:val="both"/>
        <w:rPr>
          <w:rFonts w:cstheme="minorHAnsi"/>
          <w:b/>
        </w:rPr>
      </w:pPr>
    </w:p>
    <w:p w14:paraId="576E7E03" w14:textId="77777777" w:rsidR="00806C1B" w:rsidRPr="0076591C" w:rsidRDefault="00806C1B" w:rsidP="00910D8D">
      <w:pPr>
        <w:spacing w:after="0" w:line="240" w:lineRule="auto"/>
        <w:jc w:val="both"/>
        <w:rPr>
          <w:rFonts w:cstheme="minorHAnsi"/>
          <w:b/>
        </w:rPr>
      </w:pPr>
      <w:r w:rsidRPr="0076591C">
        <w:rPr>
          <w:rFonts w:cstheme="minorHAnsi"/>
          <w:b/>
        </w:rPr>
        <w:t>Introduction</w:t>
      </w:r>
    </w:p>
    <w:p w14:paraId="576E7E04" w14:textId="77777777" w:rsidR="00577B62" w:rsidRDefault="00577B62" w:rsidP="00910D8D">
      <w:pPr>
        <w:pStyle w:val="ListParagraph"/>
        <w:numPr>
          <w:ilvl w:val="0"/>
          <w:numId w:val="1"/>
        </w:numPr>
        <w:spacing w:after="0" w:line="240" w:lineRule="auto"/>
        <w:ind w:left="567" w:hanging="567"/>
        <w:jc w:val="both"/>
        <w:rPr>
          <w:rFonts w:cstheme="minorHAnsi"/>
        </w:rPr>
      </w:pPr>
      <w:r>
        <w:rPr>
          <w:rFonts w:cstheme="minorHAnsi"/>
        </w:rPr>
        <w:t>The University engaged the Good Governa</w:t>
      </w:r>
      <w:r w:rsidR="00A433F1">
        <w:rPr>
          <w:rFonts w:cstheme="minorHAnsi"/>
        </w:rPr>
        <w:t>nce Institute to undertake a Qu</w:t>
      </w:r>
      <w:r>
        <w:rPr>
          <w:rFonts w:cstheme="minorHAnsi"/>
        </w:rPr>
        <w:t>inquennial Governance Effectiveness Review.  At its meeting in June</w:t>
      </w:r>
      <w:r w:rsidR="00260525">
        <w:rPr>
          <w:rFonts w:cstheme="minorHAnsi"/>
        </w:rPr>
        <w:t xml:space="preserve"> 2017</w:t>
      </w:r>
      <w:r>
        <w:rPr>
          <w:rFonts w:cstheme="minorHAnsi"/>
        </w:rPr>
        <w:t xml:space="preserve">, Court considered the full report, including the 12 recommendations made in the report. </w:t>
      </w:r>
      <w:r w:rsidR="00BD3028">
        <w:rPr>
          <w:rFonts w:cstheme="minorHAnsi"/>
        </w:rPr>
        <w:t xml:space="preserve">  A summary of the report and details of the recommendations are provided below.</w:t>
      </w:r>
    </w:p>
    <w:p w14:paraId="576E7E05" w14:textId="77777777" w:rsidR="00910D8D" w:rsidRDefault="00910D8D" w:rsidP="00910D8D">
      <w:pPr>
        <w:spacing w:after="0" w:line="240" w:lineRule="auto"/>
        <w:jc w:val="both"/>
        <w:rPr>
          <w:rFonts w:cstheme="minorHAnsi"/>
          <w:b/>
        </w:rPr>
      </w:pPr>
    </w:p>
    <w:p w14:paraId="576E7E06" w14:textId="77777777" w:rsidR="0083000E" w:rsidRPr="0076591C" w:rsidRDefault="0083000E" w:rsidP="0083000E">
      <w:pPr>
        <w:spacing w:after="0" w:line="240" w:lineRule="auto"/>
        <w:jc w:val="both"/>
        <w:rPr>
          <w:rFonts w:cstheme="minorHAnsi"/>
          <w:b/>
        </w:rPr>
      </w:pPr>
      <w:r>
        <w:rPr>
          <w:rFonts w:cstheme="minorHAnsi"/>
          <w:b/>
        </w:rPr>
        <w:t>Terms of Reference</w:t>
      </w:r>
    </w:p>
    <w:p w14:paraId="576E7E07" w14:textId="77777777" w:rsidR="0083000E" w:rsidRPr="00A43D3F" w:rsidRDefault="0083000E" w:rsidP="0083000E">
      <w:pPr>
        <w:pStyle w:val="ListParagraph"/>
        <w:numPr>
          <w:ilvl w:val="0"/>
          <w:numId w:val="1"/>
        </w:numPr>
        <w:spacing w:after="0" w:line="240" w:lineRule="auto"/>
        <w:ind w:left="567" w:hanging="567"/>
        <w:jc w:val="both"/>
        <w:rPr>
          <w:rFonts w:cstheme="minorHAnsi"/>
          <w:b/>
        </w:rPr>
      </w:pPr>
      <w:r w:rsidRPr="000A6DE4">
        <w:rPr>
          <w:rFonts w:cstheme="minorHAnsi"/>
        </w:rPr>
        <w:t>Th</w:t>
      </w:r>
      <w:r w:rsidR="00A43D3F">
        <w:rPr>
          <w:rFonts w:cstheme="minorHAnsi"/>
        </w:rPr>
        <w:t>e terms of reference for the review were as follows:</w:t>
      </w:r>
    </w:p>
    <w:p w14:paraId="576E7E08" w14:textId="77777777" w:rsidR="00A43D3F" w:rsidRDefault="00A43D3F" w:rsidP="00A43D3F">
      <w:pPr>
        <w:spacing w:after="0" w:line="240" w:lineRule="auto"/>
        <w:jc w:val="both"/>
        <w:rPr>
          <w:rFonts w:cstheme="minorHAnsi"/>
          <w:b/>
        </w:rPr>
      </w:pPr>
    </w:p>
    <w:p w14:paraId="576E7E09" w14:textId="77777777" w:rsidR="00A43D3F" w:rsidRPr="00A43D3F" w:rsidRDefault="00A43D3F" w:rsidP="00A43D3F">
      <w:pPr>
        <w:pStyle w:val="ListParagraph"/>
        <w:numPr>
          <w:ilvl w:val="0"/>
          <w:numId w:val="9"/>
        </w:numPr>
        <w:autoSpaceDE w:val="0"/>
        <w:autoSpaceDN w:val="0"/>
        <w:adjustRightInd w:val="0"/>
        <w:spacing w:after="120" w:line="240" w:lineRule="auto"/>
        <w:rPr>
          <w:rFonts w:cs="Avenir-Book"/>
          <w:color w:val="363636"/>
        </w:rPr>
      </w:pPr>
      <w:r w:rsidRPr="00A43D3F">
        <w:rPr>
          <w:rFonts w:cs="Avenir-Book"/>
          <w:color w:val="363636"/>
        </w:rPr>
        <w:t>whether Court is appropriately structured, resourced and has the capacity to deliver the University’s ambitious forward strategy and vision;</w:t>
      </w:r>
    </w:p>
    <w:p w14:paraId="576E7E0A" w14:textId="77777777" w:rsidR="00A43D3F" w:rsidRPr="00A43D3F" w:rsidRDefault="00A43D3F" w:rsidP="00A43D3F">
      <w:pPr>
        <w:pStyle w:val="ListParagraph"/>
        <w:numPr>
          <w:ilvl w:val="0"/>
          <w:numId w:val="9"/>
        </w:numPr>
        <w:autoSpaceDE w:val="0"/>
        <w:autoSpaceDN w:val="0"/>
        <w:adjustRightInd w:val="0"/>
        <w:spacing w:after="120" w:line="240" w:lineRule="auto"/>
        <w:rPr>
          <w:rFonts w:cs="Avenir-Book"/>
          <w:color w:val="363636"/>
        </w:rPr>
      </w:pPr>
      <w:r w:rsidRPr="00A43D3F">
        <w:rPr>
          <w:rFonts w:cs="Avenir-Book"/>
          <w:color w:val="363636"/>
        </w:rPr>
        <w:t>the balance of diversity, skills and experience on Court and to determine whether the University is fully utilising the knowledge, skills and experience of members, and is equipping members appropriately for their roles, including as chairs of sub-committees;</w:t>
      </w:r>
    </w:p>
    <w:p w14:paraId="576E7E0B" w14:textId="77777777" w:rsidR="00A43D3F" w:rsidRPr="00A43D3F" w:rsidRDefault="00A43D3F" w:rsidP="00A43D3F">
      <w:pPr>
        <w:pStyle w:val="ListParagraph"/>
        <w:numPr>
          <w:ilvl w:val="0"/>
          <w:numId w:val="9"/>
        </w:numPr>
        <w:autoSpaceDE w:val="0"/>
        <w:autoSpaceDN w:val="0"/>
        <w:adjustRightInd w:val="0"/>
        <w:spacing w:after="120" w:line="240" w:lineRule="auto"/>
        <w:rPr>
          <w:rFonts w:cs="Avenir-Book"/>
          <w:color w:val="363636"/>
        </w:rPr>
      </w:pPr>
      <w:r w:rsidRPr="00A43D3F">
        <w:rPr>
          <w:rFonts w:cs="Avenir-Book"/>
          <w:color w:val="363636"/>
        </w:rPr>
        <w:t>the extent to which Court is adequately managing risk, particularly in respect to the current external environment (Brexit; TEF; the Higher Education and Research Bill);</w:t>
      </w:r>
    </w:p>
    <w:p w14:paraId="576E7E0C" w14:textId="77777777" w:rsidR="00A43D3F" w:rsidRPr="00A43D3F" w:rsidRDefault="00A43D3F" w:rsidP="00A43D3F">
      <w:pPr>
        <w:pStyle w:val="ListParagraph"/>
        <w:numPr>
          <w:ilvl w:val="0"/>
          <w:numId w:val="9"/>
        </w:numPr>
        <w:autoSpaceDE w:val="0"/>
        <w:autoSpaceDN w:val="0"/>
        <w:adjustRightInd w:val="0"/>
        <w:spacing w:after="120" w:line="240" w:lineRule="auto"/>
        <w:rPr>
          <w:rFonts w:cs="Avenir-Book"/>
          <w:color w:val="363636"/>
        </w:rPr>
      </w:pPr>
      <w:r w:rsidRPr="00A43D3F">
        <w:rPr>
          <w:rFonts w:cs="Avenir-Book"/>
          <w:color w:val="363636"/>
        </w:rPr>
        <w:t>the ways in which the Executive and the University more generally engage with Court to improve communication and also enhance understanding of the University and the wider Sector;</w:t>
      </w:r>
    </w:p>
    <w:p w14:paraId="576E7E0D" w14:textId="77777777" w:rsidR="00A43D3F" w:rsidRPr="00A43D3F" w:rsidRDefault="00A43D3F" w:rsidP="00A43D3F">
      <w:pPr>
        <w:pStyle w:val="ListParagraph"/>
        <w:numPr>
          <w:ilvl w:val="0"/>
          <w:numId w:val="9"/>
        </w:numPr>
        <w:autoSpaceDE w:val="0"/>
        <w:autoSpaceDN w:val="0"/>
        <w:adjustRightInd w:val="0"/>
        <w:spacing w:after="120" w:line="240" w:lineRule="auto"/>
        <w:rPr>
          <w:rFonts w:cs="Avenir-Book"/>
          <w:color w:val="363636"/>
        </w:rPr>
      </w:pPr>
      <w:r w:rsidRPr="00A43D3F">
        <w:rPr>
          <w:rFonts w:cs="Avenir-Book"/>
          <w:color w:val="363636"/>
        </w:rPr>
        <w:t>providing an independent assessment on the ability of Court to deliver the University’s Strategic Plan, in compliance with the overall principles of good and effective Higher Education Governance;</w:t>
      </w:r>
    </w:p>
    <w:p w14:paraId="576E7E0E" w14:textId="77777777" w:rsidR="00A43D3F" w:rsidRPr="00A43D3F" w:rsidRDefault="00A43D3F" w:rsidP="00A43D3F">
      <w:pPr>
        <w:pStyle w:val="ListParagraph"/>
        <w:numPr>
          <w:ilvl w:val="0"/>
          <w:numId w:val="9"/>
        </w:numPr>
        <w:autoSpaceDE w:val="0"/>
        <w:autoSpaceDN w:val="0"/>
        <w:adjustRightInd w:val="0"/>
        <w:spacing w:after="120" w:line="240" w:lineRule="auto"/>
        <w:rPr>
          <w:rFonts w:cs="Avenir-Book"/>
          <w:color w:val="363636"/>
        </w:rPr>
      </w:pPr>
      <w:r w:rsidRPr="00A43D3F">
        <w:rPr>
          <w:rFonts w:cs="Avenir-Book"/>
          <w:color w:val="363636"/>
        </w:rPr>
        <w:t>explore the distinction between governance and management in the operation of the Court and the need for constructive challenge by the Court to be understood and accepted by both members and the Executive;</w:t>
      </w:r>
    </w:p>
    <w:p w14:paraId="576E7E0F" w14:textId="77777777" w:rsidR="00A43D3F" w:rsidRPr="00A43D3F" w:rsidRDefault="00A43D3F" w:rsidP="00A43D3F">
      <w:pPr>
        <w:pStyle w:val="ListParagraph"/>
        <w:numPr>
          <w:ilvl w:val="0"/>
          <w:numId w:val="9"/>
        </w:numPr>
        <w:autoSpaceDE w:val="0"/>
        <w:autoSpaceDN w:val="0"/>
        <w:adjustRightInd w:val="0"/>
        <w:spacing w:after="120" w:line="240" w:lineRule="auto"/>
        <w:rPr>
          <w:rFonts w:cs="Avenir-Book"/>
          <w:color w:val="363636"/>
        </w:rPr>
      </w:pPr>
      <w:r w:rsidRPr="00A43D3F">
        <w:rPr>
          <w:rFonts w:cs="Avenir-Book"/>
          <w:color w:val="363636"/>
        </w:rPr>
        <w:t>assess the level of Court visibility and engagement with the wider University community of staff and students and other stakeholders;</w:t>
      </w:r>
    </w:p>
    <w:p w14:paraId="576E7E10" w14:textId="77777777" w:rsidR="00A43D3F" w:rsidRPr="00A43D3F" w:rsidRDefault="00A43D3F" w:rsidP="00A43D3F">
      <w:pPr>
        <w:pStyle w:val="ListParagraph"/>
        <w:numPr>
          <w:ilvl w:val="0"/>
          <w:numId w:val="9"/>
        </w:numPr>
        <w:autoSpaceDE w:val="0"/>
        <w:autoSpaceDN w:val="0"/>
        <w:adjustRightInd w:val="0"/>
        <w:spacing w:after="120" w:line="240" w:lineRule="auto"/>
        <w:rPr>
          <w:rFonts w:cs="Avenir-Book"/>
          <w:color w:val="363636"/>
        </w:rPr>
      </w:pPr>
      <w:r w:rsidRPr="00A43D3F">
        <w:rPr>
          <w:rFonts w:cs="Avenir-Book"/>
          <w:color w:val="363636"/>
        </w:rPr>
        <w:t>evaluate if the current governance framework embraces and matches the international focus of the academic and institutional strategy.</w:t>
      </w:r>
    </w:p>
    <w:p w14:paraId="576E7E11" w14:textId="77777777" w:rsidR="00A43D3F" w:rsidRPr="00A43D3F" w:rsidRDefault="00A43D3F" w:rsidP="00A43D3F">
      <w:pPr>
        <w:spacing w:after="0" w:line="240" w:lineRule="auto"/>
        <w:jc w:val="both"/>
        <w:rPr>
          <w:rFonts w:cstheme="minorHAnsi"/>
          <w:b/>
        </w:rPr>
      </w:pPr>
    </w:p>
    <w:p w14:paraId="576E7E12" w14:textId="77777777" w:rsidR="00806C1B" w:rsidRPr="0076591C" w:rsidRDefault="00BD3028" w:rsidP="00910D8D">
      <w:pPr>
        <w:spacing w:after="0" w:line="240" w:lineRule="auto"/>
        <w:jc w:val="both"/>
        <w:rPr>
          <w:rFonts w:cstheme="minorHAnsi"/>
          <w:b/>
        </w:rPr>
      </w:pPr>
      <w:r>
        <w:rPr>
          <w:rFonts w:cstheme="minorHAnsi"/>
          <w:b/>
        </w:rPr>
        <w:t>Summary</w:t>
      </w:r>
    </w:p>
    <w:p w14:paraId="576E7E13" w14:textId="77777777" w:rsidR="005E3AFD" w:rsidRPr="005E3AFD" w:rsidRDefault="00927BAB" w:rsidP="00910D8D">
      <w:pPr>
        <w:pStyle w:val="ListParagraph"/>
        <w:numPr>
          <w:ilvl w:val="0"/>
          <w:numId w:val="1"/>
        </w:numPr>
        <w:spacing w:after="0" w:line="240" w:lineRule="auto"/>
        <w:ind w:left="567" w:hanging="567"/>
        <w:jc w:val="both"/>
        <w:rPr>
          <w:rFonts w:cstheme="minorHAnsi"/>
          <w:b/>
        </w:rPr>
      </w:pPr>
      <w:r w:rsidRPr="000A6DE4">
        <w:rPr>
          <w:rFonts w:cstheme="minorHAnsi"/>
        </w:rPr>
        <w:t xml:space="preserve">This </w:t>
      </w:r>
      <w:r w:rsidR="00577B62" w:rsidRPr="000A6DE4">
        <w:rPr>
          <w:rFonts w:cstheme="minorHAnsi"/>
        </w:rPr>
        <w:t>report</w:t>
      </w:r>
      <w:r w:rsidR="00764A9A">
        <w:rPr>
          <w:rFonts w:cstheme="minorHAnsi"/>
        </w:rPr>
        <w:t xml:space="preserve"> </w:t>
      </w:r>
      <w:r w:rsidR="005E3AFD">
        <w:rPr>
          <w:rFonts w:cstheme="minorHAnsi"/>
        </w:rPr>
        <w:t>highlighted the changing environment in which the University was operating and stated:</w:t>
      </w:r>
    </w:p>
    <w:p w14:paraId="576E7E14" w14:textId="77777777" w:rsidR="005E3AFD" w:rsidRDefault="00A43D3F" w:rsidP="005E3AFD">
      <w:pPr>
        <w:pStyle w:val="ListParagraph"/>
        <w:autoSpaceDE w:val="0"/>
        <w:autoSpaceDN w:val="0"/>
        <w:adjustRightInd w:val="0"/>
        <w:spacing w:after="120" w:line="240" w:lineRule="auto"/>
        <w:ind w:left="1080"/>
        <w:rPr>
          <w:rFonts w:ascii="Avenir-Book" w:hAnsi="Avenir-Book" w:cs="Avenir-Book"/>
          <w:color w:val="363636"/>
          <w:sz w:val="20"/>
          <w:szCs w:val="20"/>
        </w:rPr>
      </w:pPr>
      <w:r>
        <w:rPr>
          <w:rFonts w:ascii="Avenir-Book" w:hAnsi="Avenir-Book" w:cs="Avenir-Book"/>
          <w:color w:val="363636"/>
          <w:sz w:val="20"/>
          <w:szCs w:val="20"/>
        </w:rPr>
        <w:t>“</w:t>
      </w:r>
      <w:r w:rsidR="005E3AFD" w:rsidRPr="005E3AFD">
        <w:rPr>
          <w:rFonts w:ascii="Avenir-Book" w:hAnsi="Avenir-Book" w:cs="Avenir-Book"/>
          <w:color w:val="363636"/>
          <w:sz w:val="20"/>
          <w:szCs w:val="20"/>
        </w:rPr>
        <w:t>Our overall analysis concludes that the University is well-placed to meet these challenges. It is clear that the University in recent years has developed strong, transparent and cohesive governance arrangements which meet the core requirements of the relevant governance codes and also provide a sound platform for the further development of governance at Stirling. These arrangements have also sustained the organisation effectively through periods of change in leadership.</w:t>
      </w:r>
    </w:p>
    <w:p w14:paraId="576E7E15" w14:textId="77777777" w:rsidR="005E3AFD" w:rsidRDefault="005E3AFD" w:rsidP="005E3AFD">
      <w:pPr>
        <w:pStyle w:val="ListParagraph"/>
        <w:autoSpaceDE w:val="0"/>
        <w:autoSpaceDN w:val="0"/>
        <w:adjustRightInd w:val="0"/>
        <w:spacing w:after="120" w:line="240" w:lineRule="auto"/>
        <w:ind w:left="1080"/>
        <w:rPr>
          <w:rFonts w:ascii="Avenir-Book" w:hAnsi="Avenir-Book" w:cs="Avenir-Book"/>
          <w:color w:val="363636"/>
          <w:sz w:val="20"/>
          <w:szCs w:val="20"/>
        </w:rPr>
      </w:pPr>
    </w:p>
    <w:p w14:paraId="576E7E16" w14:textId="77777777" w:rsidR="005E3AFD" w:rsidRDefault="005E3AFD" w:rsidP="005E3AFD">
      <w:pPr>
        <w:autoSpaceDE w:val="0"/>
        <w:autoSpaceDN w:val="0"/>
        <w:adjustRightInd w:val="0"/>
        <w:spacing w:after="120" w:line="240" w:lineRule="auto"/>
        <w:ind w:left="1080"/>
        <w:rPr>
          <w:rFonts w:ascii="Avenir-Book" w:hAnsi="Avenir-Book" w:cs="Avenir-Book"/>
          <w:color w:val="363636"/>
          <w:sz w:val="20"/>
          <w:szCs w:val="20"/>
        </w:rPr>
      </w:pPr>
      <w:r>
        <w:rPr>
          <w:rFonts w:ascii="Avenir-Book" w:hAnsi="Avenir-Book" w:cs="Avenir-Book"/>
          <w:color w:val="363636"/>
          <w:sz w:val="20"/>
          <w:szCs w:val="20"/>
        </w:rPr>
        <w:t>Our analysis, based on interviews, document reviews, observations and benchmarking makes a number of recommendations which are intended to support further maturity in governance, which will help future-proof the University.</w:t>
      </w:r>
    </w:p>
    <w:p w14:paraId="576E7E17" w14:textId="77777777" w:rsidR="005E3AFD" w:rsidRDefault="005E3AFD" w:rsidP="005E3AFD">
      <w:pPr>
        <w:pStyle w:val="ListParagraph"/>
        <w:autoSpaceDE w:val="0"/>
        <w:autoSpaceDN w:val="0"/>
        <w:adjustRightInd w:val="0"/>
        <w:spacing w:after="120" w:line="240" w:lineRule="auto"/>
        <w:ind w:left="1080"/>
        <w:rPr>
          <w:rFonts w:ascii="Avenir-Book" w:hAnsi="Avenir-Book" w:cs="Avenir-Book"/>
          <w:color w:val="363636"/>
          <w:sz w:val="20"/>
          <w:szCs w:val="20"/>
        </w:rPr>
      </w:pPr>
    </w:p>
    <w:p w14:paraId="576E7E18" w14:textId="77777777" w:rsidR="005E3AFD" w:rsidRPr="00CD0068" w:rsidRDefault="005E3AFD" w:rsidP="00CD0068">
      <w:pPr>
        <w:pStyle w:val="ListParagraph"/>
        <w:autoSpaceDE w:val="0"/>
        <w:autoSpaceDN w:val="0"/>
        <w:adjustRightInd w:val="0"/>
        <w:spacing w:after="120" w:line="240" w:lineRule="auto"/>
        <w:ind w:left="1080"/>
        <w:rPr>
          <w:rFonts w:ascii="Avenir-Book" w:hAnsi="Avenir-Book" w:cs="Avenir-Book"/>
          <w:color w:val="363636"/>
          <w:sz w:val="20"/>
          <w:szCs w:val="20"/>
        </w:rPr>
      </w:pPr>
      <w:r>
        <w:rPr>
          <w:rFonts w:ascii="Avenir-Book" w:hAnsi="Avenir-Book" w:cs="Avenir-Book"/>
          <w:color w:val="363636"/>
          <w:sz w:val="20"/>
          <w:szCs w:val="20"/>
        </w:rPr>
        <w:t>This assessment is a careful, independent reflection of an experienced team. The review is ultimately a professional governance assessment, informed by experience and benchmarking. This is reflected in the style of the report, which sets out our collective view and recommendations. We are confident that the University is fully compliant with the Scottish Code for Good Higher Education Governance and The Higher Education Governance (Scotland) Act 2016.</w:t>
      </w:r>
      <w:r w:rsidR="00A43D3F">
        <w:rPr>
          <w:rFonts w:ascii="Avenir-Book" w:hAnsi="Avenir-Book" w:cs="Avenir-Book"/>
          <w:color w:val="363636"/>
          <w:sz w:val="20"/>
          <w:szCs w:val="20"/>
        </w:rPr>
        <w:t>”</w:t>
      </w:r>
    </w:p>
    <w:p w14:paraId="576E7E19" w14:textId="77777777" w:rsidR="00DC00EB" w:rsidRPr="0076591C" w:rsidRDefault="00DC00EB" w:rsidP="00910D8D">
      <w:pPr>
        <w:pStyle w:val="ListParagraph"/>
        <w:spacing w:after="0" w:line="240" w:lineRule="auto"/>
        <w:ind w:left="567"/>
        <w:jc w:val="both"/>
        <w:rPr>
          <w:rFonts w:cstheme="minorHAnsi"/>
        </w:rPr>
      </w:pPr>
    </w:p>
    <w:p w14:paraId="576E7E1A" w14:textId="77777777" w:rsidR="00806C1B" w:rsidRPr="0076591C" w:rsidRDefault="000A6DE4" w:rsidP="00910D8D">
      <w:pPr>
        <w:spacing w:after="0" w:line="240" w:lineRule="auto"/>
        <w:jc w:val="both"/>
        <w:rPr>
          <w:rFonts w:cstheme="minorHAnsi"/>
          <w:b/>
        </w:rPr>
      </w:pPr>
      <w:r>
        <w:rPr>
          <w:rFonts w:cstheme="minorHAnsi"/>
          <w:b/>
        </w:rPr>
        <w:t>Recommendations</w:t>
      </w:r>
    </w:p>
    <w:p w14:paraId="576E7E1B" w14:textId="77777777" w:rsidR="000A6DE4" w:rsidRDefault="00636033" w:rsidP="00910D8D">
      <w:pPr>
        <w:pStyle w:val="ListParagraph"/>
        <w:numPr>
          <w:ilvl w:val="0"/>
          <w:numId w:val="1"/>
        </w:numPr>
        <w:spacing w:after="0" w:line="240" w:lineRule="auto"/>
        <w:ind w:left="567" w:hanging="567"/>
        <w:jc w:val="both"/>
        <w:rPr>
          <w:rFonts w:cstheme="minorHAnsi"/>
        </w:rPr>
      </w:pPr>
      <w:r>
        <w:rPr>
          <w:rFonts w:cstheme="minorHAnsi"/>
        </w:rPr>
        <w:t xml:space="preserve">The report went on to </w:t>
      </w:r>
      <w:r w:rsidR="00DA13D5">
        <w:rPr>
          <w:rFonts w:cstheme="minorHAnsi"/>
        </w:rPr>
        <w:t xml:space="preserve">make a number of recommendations which were split into </w:t>
      </w:r>
      <w:r w:rsidR="000A6DE4">
        <w:rPr>
          <w:rFonts w:cstheme="minorHAnsi"/>
        </w:rPr>
        <w:t>primary and supporting recommendations</w:t>
      </w:r>
      <w:r w:rsidR="00DA13D5">
        <w:rPr>
          <w:rFonts w:cstheme="minorHAnsi"/>
        </w:rPr>
        <w:t>.  There is a list of recommendations below with a brief statement on how the University has responded.</w:t>
      </w:r>
    </w:p>
    <w:p w14:paraId="576E7E1C" w14:textId="77777777" w:rsidR="00577B62" w:rsidRDefault="00577B62" w:rsidP="00910D8D">
      <w:pPr>
        <w:spacing w:after="0" w:line="240" w:lineRule="auto"/>
        <w:jc w:val="both"/>
        <w:rPr>
          <w:rFonts w:cstheme="minorHAnsi"/>
          <w:b/>
        </w:rPr>
      </w:pPr>
    </w:p>
    <w:p w14:paraId="576E7E1D" w14:textId="77777777" w:rsidR="00577B62" w:rsidRPr="00342B72" w:rsidRDefault="00577B62" w:rsidP="00577B62">
      <w:pPr>
        <w:autoSpaceDE w:val="0"/>
        <w:autoSpaceDN w:val="0"/>
        <w:adjustRightInd w:val="0"/>
        <w:spacing w:after="0" w:line="240" w:lineRule="auto"/>
        <w:rPr>
          <w:rFonts w:cstheme="minorHAnsi"/>
          <w:i/>
          <w:iCs/>
          <w:color w:val="000000" w:themeColor="text1"/>
        </w:rPr>
      </w:pPr>
      <w:r w:rsidRPr="00342B72">
        <w:rPr>
          <w:rFonts w:cstheme="minorHAnsi"/>
          <w:i/>
          <w:iCs/>
          <w:color w:val="000000" w:themeColor="text1"/>
        </w:rPr>
        <w:t xml:space="preserve">Primary </w:t>
      </w:r>
      <w:r w:rsidR="00247141">
        <w:rPr>
          <w:rFonts w:cstheme="minorHAnsi"/>
          <w:i/>
          <w:iCs/>
          <w:color w:val="000000" w:themeColor="text1"/>
        </w:rPr>
        <w:t>recommendations</w:t>
      </w:r>
    </w:p>
    <w:p w14:paraId="576E7E1E" w14:textId="77777777" w:rsidR="00577B62" w:rsidRPr="00342B72" w:rsidRDefault="00577B62" w:rsidP="00577B62">
      <w:pPr>
        <w:autoSpaceDE w:val="0"/>
        <w:autoSpaceDN w:val="0"/>
        <w:adjustRightInd w:val="0"/>
        <w:spacing w:after="0" w:line="240" w:lineRule="auto"/>
        <w:rPr>
          <w:rFonts w:cstheme="minorHAnsi"/>
          <w:iCs/>
          <w:color w:val="000000" w:themeColor="text1"/>
        </w:rPr>
      </w:pPr>
    </w:p>
    <w:p w14:paraId="576E7E1F" w14:textId="77777777" w:rsidR="00577B62" w:rsidRPr="00721073"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721073">
        <w:rPr>
          <w:rFonts w:cstheme="minorHAnsi"/>
          <w:b/>
          <w:iCs/>
          <w:color w:val="000000" w:themeColor="text1"/>
        </w:rPr>
        <w:t>R1 adoption of a clear and unambiguous definition of the way governance of the University operates in a Code of Conduct and governance map</w:t>
      </w:r>
    </w:p>
    <w:p w14:paraId="576E7E20" w14:textId="77777777" w:rsidR="00721073" w:rsidRDefault="00721073" w:rsidP="00247141">
      <w:pPr>
        <w:autoSpaceDE w:val="0"/>
        <w:autoSpaceDN w:val="0"/>
        <w:adjustRightInd w:val="0"/>
        <w:spacing w:after="0" w:line="240" w:lineRule="auto"/>
        <w:ind w:left="720"/>
        <w:jc w:val="both"/>
        <w:rPr>
          <w:rFonts w:cstheme="minorHAnsi"/>
          <w:iCs/>
          <w:color w:val="000000" w:themeColor="text1"/>
        </w:rPr>
      </w:pPr>
      <w:r>
        <w:rPr>
          <w:rFonts w:cstheme="minorHAnsi"/>
          <w:iCs/>
          <w:color w:val="000000" w:themeColor="text1"/>
        </w:rPr>
        <w:t xml:space="preserve">The content of the Governance Handbook </w:t>
      </w:r>
      <w:r w:rsidR="00DA13D5">
        <w:rPr>
          <w:rFonts w:cstheme="minorHAnsi"/>
          <w:iCs/>
          <w:color w:val="000000" w:themeColor="text1"/>
        </w:rPr>
        <w:t xml:space="preserve">has been </w:t>
      </w:r>
      <w:r>
        <w:rPr>
          <w:rFonts w:cstheme="minorHAnsi"/>
          <w:iCs/>
          <w:color w:val="000000" w:themeColor="text1"/>
        </w:rPr>
        <w:t xml:space="preserve">reviewed to ensure the University governance structures, and the expected conduct </w:t>
      </w:r>
      <w:r w:rsidR="00247141">
        <w:rPr>
          <w:rFonts w:cstheme="minorHAnsi"/>
          <w:iCs/>
          <w:color w:val="000000" w:themeColor="text1"/>
        </w:rPr>
        <w:t xml:space="preserve">and responsibilities </w:t>
      </w:r>
      <w:r>
        <w:rPr>
          <w:rFonts w:cstheme="minorHAnsi"/>
          <w:iCs/>
          <w:color w:val="000000" w:themeColor="text1"/>
        </w:rPr>
        <w:t>of Court members</w:t>
      </w:r>
      <w:r w:rsidR="00247141">
        <w:rPr>
          <w:rFonts w:cstheme="minorHAnsi"/>
          <w:iCs/>
          <w:color w:val="000000" w:themeColor="text1"/>
        </w:rPr>
        <w:t>,</w:t>
      </w:r>
      <w:r>
        <w:rPr>
          <w:rFonts w:cstheme="minorHAnsi"/>
          <w:iCs/>
          <w:color w:val="000000" w:themeColor="text1"/>
        </w:rPr>
        <w:t xml:space="preserve"> is clear.</w:t>
      </w:r>
    </w:p>
    <w:p w14:paraId="576E7E21" w14:textId="77777777" w:rsidR="00577B62" w:rsidRPr="00342B72" w:rsidRDefault="000A6DE4" w:rsidP="00577B62">
      <w:pPr>
        <w:autoSpaceDE w:val="0"/>
        <w:autoSpaceDN w:val="0"/>
        <w:adjustRightInd w:val="0"/>
        <w:spacing w:after="0" w:line="240" w:lineRule="auto"/>
        <w:rPr>
          <w:rFonts w:cstheme="minorHAnsi"/>
          <w:iCs/>
          <w:color w:val="000000" w:themeColor="text1"/>
        </w:rPr>
      </w:pPr>
      <w:r>
        <w:rPr>
          <w:rFonts w:cstheme="minorHAnsi"/>
          <w:iCs/>
          <w:color w:val="000000" w:themeColor="text1"/>
        </w:rPr>
        <w:t xml:space="preserve"> </w:t>
      </w:r>
    </w:p>
    <w:p w14:paraId="576E7E22" w14:textId="77777777" w:rsidR="00577B62" w:rsidRPr="000A6DE4"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0A6DE4">
        <w:rPr>
          <w:rFonts w:cstheme="minorHAnsi"/>
          <w:b/>
          <w:iCs/>
          <w:color w:val="000000" w:themeColor="text1"/>
        </w:rPr>
        <w:t>R4 an additional formal meeting of Court be added to the annual cycle</w:t>
      </w:r>
    </w:p>
    <w:p w14:paraId="576E7E23" w14:textId="77777777" w:rsidR="00577B62" w:rsidRDefault="000A6DE4" w:rsidP="00247141">
      <w:pPr>
        <w:autoSpaceDE w:val="0"/>
        <w:autoSpaceDN w:val="0"/>
        <w:adjustRightInd w:val="0"/>
        <w:spacing w:after="0" w:line="240" w:lineRule="auto"/>
        <w:ind w:left="720"/>
        <w:jc w:val="both"/>
        <w:rPr>
          <w:rFonts w:cstheme="minorHAnsi"/>
          <w:iCs/>
          <w:color w:val="000000" w:themeColor="text1"/>
        </w:rPr>
      </w:pPr>
      <w:r>
        <w:rPr>
          <w:rFonts w:cstheme="minorHAnsi"/>
          <w:iCs/>
          <w:color w:val="000000" w:themeColor="text1"/>
        </w:rPr>
        <w:t xml:space="preserve">The Court Strategy Day, which had previously been held at the same time as the first meeting of Court during the annual cycle, has been separated to become an </w:t>
      </w:r>
      <w:r w:rsidR="00A433F1">
        <w:rPr>
          <w:rFonts w:cstheme="minorHAnsi"/>
          <w:iCs/>
          <w:color w:val="000000" w:themeColor="text1"/>
        </w:rPr>
        <w:t xml:space="preserve">enhanced, </w:t>
      </w:r>
      <w:r>
        <w:rPr>
          <w:rFonts w:cstheme="minorHAnsi"/>
          <w:iCs/>
          <w:color w:val="000000" w:themeColor="text1"/>
        </w:rPr>
        <w:t xml:space="preserve">independent meeting in its own right.  The Strategy Day allows for Court members to interact more closely with the members of the University and University business.  Having time between the first Court meeting and the Strategy Day allows for Court members to shape the business of the Strategy Day and more time to </w:t>
      </w:r>
      <w:r w:rsidR="00A433F1">
        <w:rPr>
          <w:rFonts w:cstheme="minorHAnsi"/>
          <w:iCs/>
          <w:color w:val="000000" w:themeColor="text1"/>
        </w:rPr>
        <w:t>reflect on Court business between meetings</w:t>
      </w:r>
      <w:r>
        <w:rPr>
          <w:rFonts w:cstheme="minorHAnsi"/>
          <w:iCs/>
          <w:color w:val="000000" w:themeColor="text1"/>
        </w:rPr>
        <w:t>.</w:t>
      </w:r>
    </w:p>
    <w:p w14:paraId="576E7E24" w14:textId="77777777" w:rsidR="000A6DE4" w:rsidRPr="00342B72" w:rsidRDefault="000A6DE4" w:rsidP="00577B62">
      <w:pPr>
        <w:autoSpaceDE w:val="0"/>
        <w:autoSpaceDN w:val="0"/>
        <w:adjustRightInd w:val="0"/>
        <w:spacing w:after="0" w:line="240" w:lineRule="auto"/>
        <w:rPr>
          <w:rFonts w:cstheme="minorHAnsi"/>
          <w:iCs/>
          <w:color w:val="000000" w:themeColor="text1"/>
        </w:rPr>
      </w:pPr>
    </w:p>
    <w:p w14:paraId="576E7E25" w14:textId="77777777" w:rsidR="00577B62" w:rsidRPr="005E6652"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5E6652">
        <w:rPr>
          <w:rFonts w:cstheme="minorHAnsi"/>
          <w:b/>
          <w:iCs/>
          <w:color w:val="000000" w:themeColor="text1"/>
        </w:rPr>
        <w:t>R6 creation of a Governance and Nominations Committee to absorb the work of the Court Appointments Committee and a lead member for Court development</w:t>
      </w:r>
    </w:p>
    <w:p w14:paraId="576E7E26" w14:textId="77777777" w:rsidR="00AE0873" w:rsidRDefault="005E6652" w:rsidP="00247141">
      <w:pPr>
        <w:autoSpaceDE w:val="0"/>
        <w:autoSpaceDN w:val="0"/>
        <w:adjustRightInd w:val="0"/>
        <w:spacing w:after="0" w:line="240" w:lineRule="auto"/>
        <w:ind w:left="720"/>
        <w:jc w:val="both"/>
        <w:rPr>
          <w:rFonts w:cstheme="minorHAnsi"/>
          <w:iCs/>
          <w:color w:val="000000" w:themeColor="text1"/>
        </w:rPr>
      </w:pPr>
      <w:r>
        <w:rPr>
          <w:rFonts w:cstheme="minorHAnsi"/>
          <w:iCs/>
          <w:color w:val="000000" w:themeColor="text1"/>
        </w:rPr>
        <w:t xml:space="preserve">A Governance and Nominations Committee </w:t>
      </w:r>
      <w:r w:rsidR="00DA13D5">
        <w:rPr>
          <w:rFonts w:cstheme="minorHAnsi"/>
          <w:iCs/>
          <w:color w:val="000000" w:themeColor="text1"/>
        </w:rPr>
        <w:t xml:space="preserve">has been </w:t>
      </w:r>
      <w:r>
        <w:rPr>
          <w:rFonts w:cstheme="minorHAnsi"/>
          <w:iCs/>
          <w:color w:val="000000" w:themeColor="text1"/>
        </w:rPr>
        <w:t>created</w:t>
      </w:r>
      <w:r w:rsidR="00C95A12">
        <w:rPr>
          <w:rFonts w:cstheme="minorHAnsi"/>
          <w:iCs/>
          <w:color w:val="000000" w:themeColor="text1"/>
        </w:rPr>
        <w:t xml:space="preserve"> with an expanded remit</w:t>
      </w:r>
      <w:r>
        <w:rPr>
          <w:rFonts w:cstheme="minorHAnsi"/>
          <w:iCs/>
          <w:color w:val="000000" w:themeColor="text1"/>
        </w:rPr>
        <w:t>.</w:t>
      </w:r>
      <w:r w:rsidR="00C95A12">
        <w:rPr>
          <w:rFonts w:cstheme="minorHAnsi"/>
          <w:iCs/>
          <w:color w:val="000000" w:themeColor="text1"/>
        </w:rPr>
        <w:t xml:space="preserve">  In addition the Vice-Chair of Court has taken on the role of </w:t>
      </w:r>
      <w:r w:rsidR="00AE0873">
        <w:rPr>
          <w:rFonts w:cstheme="minorHAnsi"/>
          <w:iCs/>
          <w:color w:val="000000" w:themeColor="text1"/>
        </w:rPr>
        <w:t>lead member for Court development.</w:t>
      </w:r>
    </w:p>
    <w:p w14:paraId="576E7E27" w14:textId="77777777" w:rsidR="00C95A12" w:rsidRDefault="00C95A12" w:rsidP="00247141">
      <w:pPr>
        <w:autoSpaceDE w:val="0"/>
        <w:autoSpaceDN w:val="0"/>
        <w:adjustRightInd w:val="0"/>
        <w:spacing w:after="0" w:line="240" w:lineRule="auto"/>
        <w:ind w:left="720"/>
        <w:jc w:val="both"/>
        <w:rPr>
          <w:rFonts w:cstheme="minorHAnsi"/>
          <w:iCs/>
          <w:color w:val="000000" w:themeColor="text1"/>
        </w:rPr>
      </w:pPr>
    </w:p>
    <w:p w14:paraId="576E7E28" w14:textId="77777777" w:rsidR="00577B62" w:rsidRPr="00CD336A"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CD336A">
        <w:rPr>
          <w:rFonts w:cstheme="minorHAnsi"/>
          <w:b/>
          <w:iCs/>
          <w:color w:val="000000" w:themeColor="text1"/>
        </w:rPr>
        <w:t>R7 Court business is developed more directly with members, is framed more explicitly around strategic themes and is planned collectively by chairs of committees on a quarterly basis</w:t>
      </w:r>
    </w:p>
    <w:p w14:paraId="576E7E29" w14:textId="77777777" w:rsidR="00CD336A" w:rsidRPr="00F835A8" w:rsidRDefault="00862E3C" w:rsidP="00862E3C">
      <w:pPr>
        <w:autoSpaceDE w:val="0"/>
        <w:autoSpaceDN w:val="0"/>
        <w:adjustRightInd w:val="0"/>
        <w:spacing w:after="0" w:line="240" w:lineRule="auto"/>
        <w:ind w:left="720"/>
        <w:jc w:val="both"/>
        <w:rPr>
          <w:rFonts w:cstheme="minorHAnsi"/>
          <w:iCs/>
          <w:color w:val="000000" w:themeColor="text1"/>
        </w:rPr>
      </w:pPr>
      <w:r w:rsidRPr="00F835A8">
        <w:rPr>
          <w:rFonts w:cstheme="minorHAnsi"/>
          <w:iCs/>
          <w:color w:val="000000" w:themeColor="text1"/>
        </w:rPr>
        <w:t>Chair of committees have an opportunity to feed into the agenda setting process.  C</w:t>
      </w:r>
      <w:r w:rsidR="00247141" w:rsidRPr="00F835A8">
        <w:rPr>
          <w:rFonts w:cstheme="minorHAnsi"/>
          <w:iCs/>
          <w:color w:val="000000" w:themeColor="text1"/>
        </w:rPr>
        <w:t xml:space="preserve">ourt members </w:t>
      </w:r>
      <w:r w:rsidRPr="00F835A8">
        <w:rPr>
          <w:rFonts w:cstheme="minorHAnsi"/>
          <w:iCs/>
          <w:color w:val="000000" w:themeColor="text1"/>
        </w:rPr>
        <w:t>are</w:t>
      </w:r>
      <w:r w:rsidR="00247141" w:rsidRPr="00F835A8">
        <w:rPr>
          <w:rFonts w:cstheme="minorHAnsi"/>
          <w:iCs/>
          <w:color w:val="000000" w:themeColor="text1"/>
        </w:rPr>
        <w:t xml:space="preserve"> invited to comment on the draft agenda for the C</w:t>
      </w:r>
      <w:r w:rsidR="005D6DA1" w:rsidRPr="00F835A8">
        <w:rPr>
          <w:rFonts w:cstheme="minorHAnsi"/>
          <w:iCs/>
          <w:color w:val="000000" w:themeColor="text1"/>
        </w:rPr>
        <w:t xml:space="preserve">ourt strategy day </w:t>
      </w:r>
      <w:r w:rsidR="00771D46" w:rsidRPr="00F835A8">
        <w:rPr>
          <w:rFonts w:cstheme="minorHAnsi"/>
          <w:iCs/>
          <w:color w:val="000000" w:themeColor="text1"/>
        </w:rPr>
        <w:t xml:space="preserve">by the Chair of Court, and </w:t>
      </w:r>
      <w:r w:rsidRPr="00F835A8">
        <w:rPr>
          <w:rFonts w:cstheme="minorHAnsi"/>
          <w:iCs/>
          <w:color w:val="000000" w:themeColor="text1"/>
        </w:rPr>
        <w:t xml:space="preserve">have an opportunity to shape the </w:t>
      </w:r>
      <w:r w:rsidR="00CD336A" w:rsidRPr="00F835A8">
        <w:rPr>
          <w:rFonts w:cstheme="minorHAnsi"/>
          <w:iCs/>
          <w:color w:val="000000" w:themeColor="text1"/>
        </w:rPr>
        <w:t>agenda</w:t>
      </w:r>
      <w:r w:rsidR="00771D46" w:rsidRPr="00F835A8">
        <w:rPr>
          <w:rFonts w:cstheme="minorHAnsi"/>
          <w:iCs/>
          <w:color w:val="000000" w:themeColor="text1"/>
        </w:rPr>
        <w:t>.  The Court agenda has</w:t>
      </w:r>
      <w:r w:rsidR="00CD336A" w:rsidRPr="00F835A8">
        <w:rPr>
          <w:rFonts w:cstheme="minorHAnsi"/>
          <w:iCs/>
          <w:color w:val="000000" w:themeColor="text1"/>
        </w:rPr>
        <w:t xml:space="preserve"> be</w:t>
      </w:r>
      <w:r w:rsidR="00771D46" w:rsidRPr="00F835A8">
        <w:rPr>
          <w:rFonts w:cstheme="minorHAnsi"/>
          <w:iCs/>
          <w:color w:val="000000" w:themeColor="text1"/>
        </w:rPr>
        <w:t>en</w:t>
      </w:r>
      <w:r w:rsidR="00CD336A" w:rsidRPr="00F835A8">
        <w:rPr>
          <w:rFonts w:cstheme="minorHAnsi"/>
          <w:iCs/>
          <w:color w:val="000000" w:themeColor="text1"/>
        </w:rPr>
        <w:t xml:space="preserve"> categorised into themes</w:t>
      </w:r>
      <w:r w:rsidR="00771D46" w:rsidRPr="00F835A8">
        <w:rPr>
          <w:rFonts w:cstheme="minorHAnsi"/>
          <w:iCs/>
          <w:color w:val="000000" w:themeColor="text1"/>
        </w:rPr>
        <w:t xml:space="preserve"> to reflect strategic priorities and governance responsibilities.</w:t>
      </w:r>
    </w:p>
    <w:p w14:paraId="576E7E2A" w14:textId="77777777" w:rsidR="00CD336A" w:rsidRPr="00342B72" w:rsidRDefault="00CD336A" w:rsidP="00577B62">
      <w:pPr>
        <w:autoSpaceDE w:val="0"/>
        <w:autoSpaceDN w:val="0"/>
        <w:adjustRightInd w:val="0"/>
        <w:spacing w:after="0" w:line="240" w:lineRule="auto"/>
        <w:rPr>
          <w:rFonts w:cstheme="minorHAnsi"/>
          <w:iCs/>
          <w:color w:val="000000" w:themeColor="text1"/>
        </w:rPr>
      </w:pPr>
    </w:p>
    <w:p w14:paraId="576E7E2B" w14:textId="77777777" w:rsidR="00577B62" w:rsidRPr="00CD336A"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CD336A">
        <w:rPr>
          <w:rFonts w:cstheme="minorHAnsi"/>
          <w:b/>
          <w:iCs/>
          <w:color w:val="000000" w:themeColor="text1"/>
        </w:rPr>
        <w:t>R10 an integrated governance development programme for Court, including a ‘buddying’ approach</w:t>
      </w:r>
    </w:p>
    <w:p w14:paraId="576E7E2C" w14:textId="77777777" w:rsidR="00CD336A" w:rsidRDefault="00CD336A" w:rsidP="00771D46">
      <w:pPr>
        <w:autoSpaceDE w:val="0"/>
        <w:autoSpaceDN w:val="0"/>
        <w:adjustRightInd w:val="0"/>
        <w:spacing w:after="0" w:line="240" w:lineRule="auto"/>
        <w:ind w:left="720"/>
        <w:jc w:val="both"/>
        <w:rPr>
          <w:rFonts w:cstheme="minorHAnsi"/>
          <w:iCs/>
          <w:color w:val="000000" w:themeColor="text1"/>
        </w:rPr>
      </w:pPr>
      <w:r>
        <w:rPr>
          <w:rFonts w:cstheme="minorHAnsi"/>
          <w:iCs/>
          <w:color w:val="000000" w:themeColor="text1"/>
        </w:rPr>
        <w:t>There will be a peer-to-peer mentoring arran</w:t>
      </w:r>
      <w:r w:rsidR="00771D46">
        <w:rPr>
          <w:rFonts w:cstheme="minorHAnsi"/>
          <w:iCs/>
          <w:color w:val="000000" w:themeColor="text1"/>
        </w:rPr>
        <w:t>gement for new members of Court, overseen by the Governance and Nominations Committee.</w:t>
      </w:r>
    </w:p>
    <w:p w14:paraId="576E7E2D" w14:textId="77777777" w:rsidR="00CD336A" w:rsidRPr="00342B72" w:rsidRDefault="00CD336A" w:rsidP="00577B62">
      <w:pPr>
        <w:autoSpaceDE w:val="0"/>
        <w:autoSpaceDN w:val="0"/>
        <w:adjustRightInd w:val="0"/>
        <w:spacing w:after="0" w:line="240" w:lineRule="auto"/>
        <w:rPr>
          <w:rFonts w:cstheme="minorHAnsi"/>
          <w:iCs/>
          <w:color w:val="000000" w:themeColor="text1"/>
        </w:rPr>
      </w:pPr>
    </w:p>
    <w:p w14:paraId="576E7E2E" w14:textId="77777777" w:rsidR="00577B62" w:rsidRPr="00CD336A"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CD336A">
        <w:rPr>
          <w:rFonts w:cstheme="minorHAnsi"/>
          <w:b/>
          <w:iCs/>
          <w:color w:val="000000" w:themeColor="text1"/>
        </w:rPr>
        <w:t>R12 performance impact assessment of Court in the form of an annual self-assessment</w:t>
      </w:r>
    </w:p>
    <w:p w14:paraId="576E7E2F" w14:textId="77777777" w:rsidR="00577B62" w:rsidRPr="00CD336A" w:rsidRDefault="00CD336A" w:rsidP="00771D46">
      <w:pPr>
        <w:ind w:left="720"/>
        <w:jc w:val="both"/>
        <w:rPr>
          <w:rFonts w:cstheme="minorHAnsi"/>
          <w:iCs/>
          <w:color w:val="000000" w:themeColor="text1"/>
        </w:rPr>
      </w:pPr>
      <w:r w:rsidRPr="00CD336A">
        <w:rPr>
          <w:rFonts w:cstheme="minorHAnsi"/>
          <w:iCs/>
          <w:color w:val="000000" w:themeColor="text1"/>
        </w:rPr>
        <w:t xml:space="preserve">Court members </w:t>
      </w:r>
      <w:r w:rsidR="00D04B72">
        <w:rPr>
          <w:rFonts w:cstheme="minorHAnsi"/>
          <w:iCs/>
          <w:color w:val="000000" w:themeColor="text1"/>
        </w:rPr>
        <w:t xml:space="preserve">reflect annually on their </w:t>
      </w:r>
      <w:r w:rsidRPr="00CD336A">
        <w:rPr>
          <w:rFonts w:cstheme="minorHAnsi"/>
          <w:iCs/>
          <w:color w:val="000000" w:themeColor="text1"/>
        </w:rPr>
        <w:t>own</w:t>
      </w:r>
      <w:r w:rsidR="00D04B72">
        <w:rPr>
          <w:rFonts w:cstheme="minorHAnsi"/>
          <w:iCs/>
          <w:color w:val="000000" w:themeColor="text1"/>
        </w:rPr>
        <w:t xml:space="preserve"> skills and</w:t>
      </w:r>
      <w:r w:rsidRPr="00CD336A">
        <w:rPr>
          <w:rFonts w:cstheme="minorHAnsi"/>
          <w:iCs/>
          <w:color w:val="000000" w:themeColor="text1"/>
        </w:rPr>
        <w:t xml:space="preserve"> contribution to Court, the effectiveness of Court as a whole and the performance of the Chair</w:t>
      </w:r>
      <w:r w:rsidR="00771D46">
        <w:rPr>
          <w:rFonts w:cstheme="minorHAnsi"/>
          <w:iCs/>
          <w:color w:val="000000" w:themeColor="text1"/>
        </w:rPr>
        <w:t>.</w:t>
      </w:r>
    </w:p>
    <w:p w14:paraId="576E7E30" w14:textId="77777777" w:rsidR="00E44DCA" w:rsidRDefault="00E44DCA">
      <w:pPr>
        <w:rPr>
          <w:rFonts w:cstheme="minorHAnsi"/>
          <w:i/>
          <w:iCs/>
          <w:color w:val="000000" w:themeColor="text1"/>
        </w:rPr>
      </w:pPr>
      <w:r>
        <w:rPr>
          <w:rFonts w:cstheme="minorHAnsi"/>
          <w:i/>
          <w:iCs/>
          <w:color w:val="000000" w:themeColor="text1"/>
        </w:rPr>
        <w:br w:type="page"/>
      </w:r>
    </w:p>
    <w:p w14:paraId="576E7E31" w14:textId="77777777" w:rsidR="00577B62" w:rsidRPr="00342B72" w:rsidRDefault="00577B62" w:rsidP="00577B62">
      <w:pPr>
        <w:autoSpaceDE w:val="0"/>
        <w:autoSpaceDN w:val="0"/>
        <w:adjustRightInd w:val="0"/>
        <w:spacing w:after="0" w:line="240" w:lineRule="auto"/>
        <w:rPr>
          <w:rFonts w:cstheme="minorHAnsi"/>
          <w:i/>
          <w:iCs/>
          <w:color w:val="000000" w:themeColor="text1"/>
        </w:rPr>
      </w:pPr>
      <w:r w:rsidRPr="00342B72">
        <w:rPr>
          <w:rFonts w:cstheme="minorHAnsi"/>
          <w:i/>
          <w:iCs/>
          <w:color w:val="000000" w:themeColor="text1"/>
        </w:rPr>
        <w:lastRenderedPageBreak/>
        <w:t>Supporting recommendations</w:t>
      </w:r>
    </w:p>
    <w:p w14:paraId="576E7E32" w14:textId="77777777" w:rsidR="00577B62" w:rsidRPr="00342B72" w:rsidRDefault="00577B62" w:rsidP="00577B62">
      <w:pPr>
        <w:autoSpaceDE w:val="0"/>
        <w:autoSpaceDN w:val="0"/>
        <w:adjustRightInd w:val="0"/>
        <w:spacing w:after="0" w:line="240" w:lineRule="auto"/>
        <w:rPr>
          <w:rFonts w:cstheme="minorHAnsi"/>
          <w:iCs/>
          <w:color w:val="000000" w:themeColor="text1"/>
        </w:rPr>
      </w:pPr>
    </w:p>
    <w:p w14:paraId="576E7E33" w14:textId="77777777" w:rsidR="00577B62" w:rsidRPr="00CD336A"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CD336A">
        <w:rPr>
          <w:rFonts w:cstheme="minorHAnsi"/>
          <w:b/>
          <w:iCs/>
          <w:color w:val="000000" w:themeColor="text1"/>
        </w:rPr>
        <w:t>R2 a clear succession and skills planning approach to improve the depth and expertise engaged in the governance of the University</w:t>
      </w:r>
    </w:p>
    <w:p w14:paraId="576E7E34" w14:textId="77777777" w:rsidR="00D04B72" w:rsidRDefault="00D04B72" w:rsidP="00771D46">
      <w:pPr>
        <w:autoSpaceDE w:val="0"/>
        <w:autoSpaceDN w:val="0"/>
        <w:adjustRightInd w:val="0"/>
        <w:spacing w:after="0" w:line="240" w:lineRule="auto"/>
        <w:ind w:left="720"/>
        <w:jc w:val="both"/>
        <w:rPr>
          <w:rFonts w:cstheme="minorHAnsi"/>
          <w:iCs/>
          <w:color w:val="000000" w:themeColor="text1"/>
        </w:rPr>
      </w:pPr>
      <w:r>
        <w:rPr>
          <w:rFonts w:cstheme="minorHAnsi"/>
          <w:iCs/>
          <w:color w:val="000000" w:themeColor="text1"/>
        </w:rPr>
        <w:t>Governance and Nominations Committee have implemented a new skills register which is used to inform succession and skills planning.  Individual members are asked to update the skills register annually.</w:t>
      </w:r>
    </w:p>
    <w:p w14:paraId="576E7E35" w14:textId="77777777" w:rsidR="00CD336A" w:rsidRPr="00342B72" w:rsidRDefault="00CD336A" w:rsidP="00577B62">
      <w:pPr>
        <w:autoSpaceDE w:val="0"/>
        <w:autoSpaceDN w:val="0"/>
        <w:adjustRightInd w:val="0"/>
        <w:spacing w:after="0" w:line="240" w:lineRule="auto"/>
        <w:rPr>
          <w:rFonts w:cstheme="minorHAnsi"/>
          <w:iCs/>
          <w:color w:val="000000" w:themeColor="text1"/>
        </w:rPr>
      </w:pPr>
    </w:p>
    <w:p w14:paraId="576E7E36" w14:textId="77777777" w:rsidR="00577B62" w:rsidRPr="00721073"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721073">
        <w:rPr>
          <w:rFonts w:cstheme="minorHAnsi"/>
          <w:b/>
          <w:iCs/>
          <w:color w:val="000000" w:themeColor="text1"/>
        </w:rPr>
        <w:t>R3 the balance of business between Court and the JPPRC is kept under annual review</w:t>
      </w:r>
    </w:p>
    <w:p w14:paraId="576E7E37" w14:textId="77777777" w:rsidR="00CD336A" w:rsidRPr="00E44DCA" w:rsidRDefault="00CD336A" w:rsidP="00771D46">
      <w:pPr>
        <w:autoSpaceDE w:val="0"/>
        <w:autoSpaceDN w:val="0"/>
        <w:adjustRightInd w:val="0"/>
        <w:spacing w:after="0" w:line="240" w:lineRule="auto"/>
        <w:ind w:left="720"/>
        <w:jc w:val="both"/>
        <w:rPr>
          <w:rFonts w:cstheme="minorHAnsi"/>
          <w:iCs/>
          <w:color w:val="000000" w:themeColor="text1"/>
        </w:rPr>
      </w:pPr>
      <w:r w:rsidRPr="00E44DCA">
        <w:rPr>
          <w:rFonts w:cstheme="minorHAnsi"/>
          <w:iCs/>
          <w:color w:val="000000" w:themeColor="text1"/>
        </w:rPr>
        <w:t xml:space="preserve">The template for committee papers will be revised to include </w:t>
      </w:r>
      <w:r w:rsidR="00721073" w:rsidRPr="00E44DCA">
        <w:rPr>
          <w:rFonts w:cstheme="minorHAnsi"/>
          <w:iCs/>
          <w:color w:val="000000" w:themeColor="text1"/>
        </w:rPr>
        <w:t xml:space="preserve">the requirement to specify the journey of the paper i.e. where it has previously been considered.  </w:t>
      </w:r>
      <w:r w:rsidR="00771D46" w:rsidRPr="00E44DCA">
        <w:rPr>
          <w:rFonts w:cstheme="minorHAnsi"/>
          <w:iCs/>
          <w:color w:val="000000" w:themeColor="text1"/>
        </w:rPr>
        <w:t xml:space="preserve">The balance of business between Court and JPPRC </w:t>
      </w:r>
      <w:r w:rsidR="00E44DCA" w:rsidRPr="00E44DCA">
        <w:rPr>
          <w:rFonts w:cstheme="minorHAnsi"/>
          <w:iCs/>
          <w:color w:val="000000" w:themeColor="text1"/>
        </w:rPr>
        <w:t>is</w:t>
      </w:r>
      <w:r w:rsidR="00771D46" w:rsidRPr="00E44DCA">
        <w:rPr>
          <w:rFonts w:cstheme="minorHAnsi"/>
          <w:iCs/>
          <w:color w:val="000000" w:themeColor="text1"/>
        </w:rPr>
        <w:t xml:space="preserve"> considered </w:t>
      </w:r>
      <w:r w:rsidR="00E44DCA" w:rsidRPr="00E44DCA">
        <w:rPr>
          <w:rFonts w:cstheme="minorHAnsi"/>
          <w:iCs/>
          <w:color w:val="000000" w:themeColor="text1"/>
        </w:rPr>
        <w:t>as part of the agenda setting process.</w:t>
      </w:r>
    </w:p>
    <w:p w14:paraId="576E7E38" w14:textId="77777777" w:rsidR="00CD336A" w:rsidRPr="00E44DCA" w:rsidRDefault="00CD336A" w:rsidP="00577B62">
      <w:pPr>
        <w:autoSpaceDE w:val="0"/>
        <w:autoSpaceDN w:val="0"/>
        <w:adjustRightInd w:val="0"/>
        <w:spacing w:after="0" w:line="240" w:lineRule="auto"/>
        <w:rPr>
          <w:rFonts w:cstheme="minorHAnsi"/>
          <w:iCs/>
          <w:color w:val="000000" w:themeColor="text1"/>
        </w:rPr>
      </w:pPr>
    </w:p>
    <w:p w14:paraId="576E7E39" w14:textId="77777777" w:rsidR="00577B62" w:rsidRPr="00721073"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E44DCA">
        <w:rPr>
          <w:rFonts w:cstheme="minorHAnsi"/>
          <w:b/>
          <w:iCs/>
          <w:color w:val="000000" w:themeColor="text1"/>
        </w:rPr>
        <w:t>R5 an annual statement of risk appetite is formally adopted to guide the work of Court and</w:t>
      </w:r>
      <w:r w:rsidRPr="00721073">
        <w:rPr>
          <w:rFonts w:cstheme="minorHAnsi"/>
          <w:b/>
          <w:iCs/>
          <w:color w:val="000000" w:themeColor="text1"/>
        </w:rPr>
        <w:t xml:space="preserve"> the Executive</w:t>
      </w:r>
    </w:p>
    <w:p w14:paraId="576E7E3A" w14:textId="77777777" w:rsidR="00721073" w:rsidRDefault="00721073" w:rsidP="00771D46">
      <w:pPr>
        <w:autoSpaceDE w:val="0"/>
        <w:autoSpaceDN w:val="0"/>
        <w:adjustRightInd w:val="0"/>
        <w:spacing w:after="0" w:line="240" w:lineRule="auto"/>
        <w:ind w:left="720"/>
        <w:jc w:val="both"/>
        <w:rPr>
          <w:rFonts w:cstheme="minorHAnsi"/>
          <w:iCs/>
          <w:color w:val="000000" w:themeColor="text1"/>
        </w:rPr>
      </w:pPr>
      <w:r>
        <w:rPr>
          <w:rFonts w:cstheme="minorHAnsi"/>
          <w:iCs/>
          <w:color w:val="000000" w:themeColor="text1"/>
        </w:rPr>
        <w:t>Risk appe</w:t>
      </w:r>
      <w:r w:rsidR="005D6DA1">
        <w:rPr>
          <w:rFonts w:cstheme="minorHAnsi"/>
          <w:iCs/>
          <w:color w:val="000000" w:themeColor="text1"/>
        </w:rPr>
        <w:t xml:space="preserve">tite </w:t>
      </w:r>
      <w:r w:rsidR="00862E3C">
        <w:rPr>
          <w:rFonts w:cstheme="minorHAnsi"/>
          <w:iCs/>
          <w:color w:val="000000" w:themeColor="text1"/>
        </w:rPr>
        <w:t xml:space="preserve">is </w:t>
      </w:r>
      <w:r w:rsidR="005D6DA1">
        <w:rPr>
          <w:rFonts w:cstheme="minorHAnsi"/>
          <w:iCs/>
          <w:color w:val="000000" w:themeColor="text1"/>
        </w:rPr>
        <w:t>discussed annually</w:t>
      </w:r>
      <w:r w:rsidR="00862E3C">
        <w:rPr>
          <w:rFonts w:cstheme="minorHAnsi"/>
          <w:iCs/>
          <w:color w:val="000000" w:themeColor="text1"/>
        </w:rPr>
        <w:t xml:space="preserve"> at the </w:t>
      </w:r>
      <w:r w:rsidR="005D6DA1">
        <w:rPr>
          <w:rFonts w:cstheme="minorHAnsi"/>
          <w:iCs/>
          <w:color w:val="000000" w:themeColor="text1"/>
        </w:rPr>
        <w:t>Court</w:t>
      </w:r>
      <w:r w:rsidR="00862E3C">
        <w:rPr>
          <w:rFonts w:cstheme="minorHAnsi"/>
          <w:iCs/>
          <w:color w:val="000000" w:themeColor="text1"/>
        </w:rPr>
        <w:t xml:space="preserve"> Strategy Day</w:t>
      </w:r>
      <w:r w:rsidR="005D6DA1">
        <w:rPr>
          <w:rFonts w:cstheme="minorHAnsi"/>
          <w:iCs/>
          <w:color w:val="000000" w:themeColor="text1"/>
        </w:rPr>
        <w:t xml:space="preserve">. </w:t>
      </w:r>
    </w:p>
    <w:p w14:paraId="576E7E3B" w14:textId="77777777" w:rsidR="00721073" w:rsidRPr="00342B72" w:rsidRDefault="00721073" w:rsidP="00577B62">
      <w:pPr>
        <w:autoSpaceDE w:val="0"/>
        <w:autoSpaceDN w:val="0"/>
        <w:adjustRightInd w:val="0"/>
        <w:spacing w:after="0" w:line="240" w:lineRule="auto"/>
        <w:rPr>
          <w:rFonts w:cstheme="minorHAnsi"/>
          <w:iCs/>
          <w:color w:val="000000" w:themeColor="text1"/>
        </w:rPr>
      </w:pPr>
    </w:p>
    <w:p w14:paraId="576E7E3C" w14:textId="77777777" w:rsidR="00577B62" w:rsidRPr="00721073"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721073">
        <w:rPr>
          <w:rFonts w:cstheme="minorHAnsi"/>
          <w:b/>
          <w:iCs/>
          <w:color w:val="000000" w:themeColor="text1"/>
        </w:rPr>
        <w:t>R8 Court papers are framed with executive summaries which help increase discussion and support clear decision-making</w:t>
      </w:r>
    </w:p>
    <w:p w14:paraId="576E7E3D" w14:textId="77777777" w:rsidR="00721073" w:rsidRDefault="00721073" w:rsidP="00771D46">
      <w:pPr>
        <w:autoSpaceDE w:val="0"/>
        <w:autoSpaceDN w:val="0"/>
        <w:adjustRightInd w:val="0"/>
        <w:spacing w:after="0" w:line="240" w:lineRule="auto"/>
        <w:ind w:left="720"/>
        <w:jc w:val="both"/>
        <w:rPr>
          <w:rFonts w:cstheme="minorHAnsi"/>
          <w:iCs/>
          <w:color w:val="000000" w:themeColor="text1"/>
        </w:rPr>
      </w:pPr>
      <w:r>
        <w:rPr>
          <w:rFonts w:cstheme="minorHAnsi"/>
          <w:iCs/>
          <w:color w:val="000000" w:themeColor="text1"/>
        </w:rPr>
        <w:t xml:space="preserve">The committee paper template </w:t>
      </w:r>
      <w:r w:rsidR="00862E3C">
        <w:rPr>
          <w:rFonts w:cstheme="minorHAnsi"/>
          <w:iCs/>
          <w:color w:val="000000" w:themeColor="text1"/>
        </w:rPr>
        <w:t>has been</w:t>
      </w:r>
      <w:r>
        <w:rPr>
          <w:rFonts w:cstheme="minorHAnsi"/>
          <w:iCs/>
          <w:color w:val="000000" w:themeColor="text1"/>
        </w:rPr>
        <w:t xml:space="preserve"> revised to ensure that papers are effectively summarised.</w:t>
      </w:r>
    </w:p>
    <w:p w14:paraId="576E7E3E" w14:textId="77777777" w:rsidR="00721073" w:rsidRPr="00342B72" w:rsidRDefault="00721073" w:rsidP="00577B62">
      <w:pPr>
        <w:autoSpaceDE w:val="0"/>
        <w:autoSpaceDN w:val="0"/>
        <w:adjustRightInd w:val="0"/>
        <w:spacing w:after="0" w:line="240" w:lineRule="auto"/>
        <w:rPr>
          <w:rFonts w:cstheme="minorHAnsi"/>
          <w:iCs/>
          <w:color w:val="000000" w:themeColor="text1"/>
        </w:rPr>
      </w:pPr>
    </w:p>
    <w:p w14:paraId="576E7E3F" w14:textId="77777777" w:rsidR="00577B62" w:rsidRPr="00721073" w:rsidRDefault="00577B62" w:rsidP="00577B62">
      <w:pPr>
        <w:pStyle w:val="ListParagraph"/>
        <w:numPr>
          <w:ilvl w:val="0"/>
          <w:numId w:val="8"/>
        </w:numPr>
        <w:autoSpaceDE w:val="0"/>
        <w:autoSpaceDN w:val="0"/>
        <w:adjustRightInd w:val="0"/>
        <w:spacing w:after="0" w:line="240" w:lineRule="auto"/>
        <w:rPr>
          <w:rFonts w:cstheme="minorHAnsi"/>
          <w:b/>
          <w:iCs/>
          <w:color w:val="000000" w:themeColor="text1"/>
        </w:rPr>
      </w:pPr>
      <w:r w:rsidRPr="00721073">
        <w:rPr>
          <w:rFonts w:cstheme="minorHAnsi"/>
          <w:b/>
          <w:iCs/>
          <w:color w:val="000000" w:themeColor="text1"/>
        </w:rPr>
        <w:t>R9 development of a digital governance approach</w:t>
      </w:r>
    </w:p>
    <w:p w14:paraId="576E7E40" w14:textId="77777777" w:rsidR="00721073" w:rsidRDefault="00862E3C" w:rsidP="00A82CDC">
      <w:pPr>
        <w:autoSpaceDE w:val="0"/>
        <w:autoSpaceDN w:val="0"/>
        <w:adjustRightInd w:val="0"/>
        <w:spacing w:after="0" w:line="240" w:lineRule="auto"/>
        <w:ind w:left="720"/>
        <w:jc w:val="both"/>
        <w:rPr>
          <w:rFonts w:cstheme="minorHAnsi"/>
          <w:iCs/>
          <w:color w:val="000000" w:themeColor="text1"/>
        </w:rPr>
      </w:pPr>
      <w:r w:rsidRPr="00862E3C">
        <w:rPr>
          <w:rFonts w:cstheme="minorHAnsi"/>
          <w:iCs/>
          <w:color w:val="000000" w:themeColor="text1"/>
        </w:rPr>
        <w:t>New ways of using digital technology to enhance the effectiveness of meetings, decision making and connectivity are being explored.</w:t>
      </w:r>
    </w:p>
    <w:p w14:paraId="576E7E41" w14:textId="77777777" w:rsidR="00721073" w:rsidRPr="00342B72" w:rsidRDefault="00721073" w:rsidP="00577B62">
      <w:pPr>
        <w:autoSpaceDE w:val="0"/>
        <w:autoSpaceDN w:val="0"/>
        <w:adjustRightInd w:val="0"/>
        <w:spacing w:after="0" w:line="240" w:lineRule="auto"/>
        <w:rPr>
          <w:rFonts w:cstheme="minorHAnsi"/>
          <w:iCs/>
          <w:color w:val="000000" w:themeColor="text1"/>
        </w:rPr>
      </w:pPr>
    </w:p>
    <w:p w14:paraId="576E7E42" w14:textId="77777777" w:rsidR="00577B62" w:rsidRPr="00721073" w:rsidRDefault="00577B62" w:rsidP="00577B62">
      <w:pPr>
        <w:pStyle w:val="ListParagraph"/>
        <w:numPr>
          <w:ilvl w:val="0"/>
          <w:numId w:val="8"/>
        </w:numPr>
        <w:autoSpaceDE w:val="0"/>
        <w:autoSpaceDN w:val="0"/>
        <w:adjustRightInd w:val="0"/>
        <w:spacing w:after="0" w:line="240" w:lineRule="auto"/>
        <w:rPr>
          <w:rFonts w:cstheme="minorHAnsi"/>
          <w:b/>
          <w:color w:val="000000" w:themeColor="text1"/>
        </w:rPr>
      </w:pPr>
      <w:r w:rsidRPr="00721073">
        <w:rPr>
          <w:rFonts w:cstheme="minorHAnsi"/>
          <w:b/>
          <w:iCs/>
          <w:color w:val="000000" w:themeColor="text1"/>
        </w:rPr>
        <w:t>R11 members of Court are supported in engaging actively in the life of the University, and as ambassadors beyond the University</w:t>
      </w:r>
    </w:p>
    <w:p w14:paraId="576E7E43" w14:textId="77777777" w:rsidR="00721073" w:rsidRPr="00721073" w:rsidRDefault="00721073" w:rsidP="00A82CDC">
      <w:pPr>
        <w:spacing w:after="0" w:line="240" w:lineRule="auto"/>
        <w:ind w:left="720"/>
        <w:jc w:val="both"/>
        <w:rPr>
          <w:rFonts w:cstheme="minorHAnsi"/>
        </w:rPr>
      </w:pPr>
      <w:r w:rsidRPr="00721073">
        <w:rPr>
          <w:rFonts w:cstheme="minorHAnsi"/>
        </w:rPr>
        <w:t xml:space="preserve">The responsibilities of Court members </w:t>
      </w:r>
      <w:proofErr w:type="gramStart"/>
      <w:r w:rsidR="00862E3C">
        <w:rPr>
          <w:rFonts w:cstheme="minorHAnsi"/>
        </w:rPr>
        <w:t>has</w:t>
      </w:r>
      <w:proofErr w:type="gramEnd"/>
      <w:r w:rsidR="00862E3C">
        <w:rPr>
          <w:rFonts w:cstheme="minorHAnsi"/>
        </w:rPr>
        <w:t xml:space="preserve"> been </w:t>
      </w:r>
      <w:r w:rsidRPr="00721073">
        <w:rPr>
          <w:rFonts w:cstheme="minorHAnsi"/>
        </w:rPr>
        <w:t>articulated more clearly in both the agreement new Court members s</w:t>
      </w:r>
      <w:r w:rsidR="00A82CDC">
        <w:rPr>
          <w:rFonts w:cstheme="minorHAnsi"/>
        </w:rPr>
        <w:t>ign and the Governance Handbook.</w:t>
      </w:r>
    </w:p>
    <w:p w14:paraId="576E7E44" w14:textId="77777777" w:rsidR="00577B62" w:rsidRPr="0076591C" w:rsidRDefault="00577B62" w:rsidP="00910D8D">
      <w:pPr>
        <w:spacing w:after="0" w:line="240" w:lineRule="auto"/>
        <w:jc w:val="both"/>
        <w:rPr>
          <w:rFonts w:cstheme="minorHAnsi"/>
          <w:b/>
        </w:rPr>
      </w:pPr>
    </w:p>
    <w:p w14:paraId="576E7E45" w14:textId="77777777" w:rsidR="00577B62" w:rsidRPr="00342B72" w:rsidRDefault="00577B62" w:rsidP="00577B62">
      <w:pPr>
        <w:spacing w:after="0" w:line="240" w:lineRule="auto"/>
        <w:jc w:val="both"/>
        <w:rPr>
          <w:rFonts w:cstheme="minorHAnsi"/>
          <w:b/>
        </w:rPr>
      </w:pPr>
      <w:r w:rsidRPr="00342B72">
        <w:rPr>
          <w:rFonts w:cstheme="minorHAnsi"/>
          <w:b/>
        </w:rPr>
        <w:t>Data Classification</w:t>
      </w:r>
    </w:p>
    <w:p w14:paraId="576E7E46" w14:textId="77777777" w:rsidR="00577B62" w:rsidRPr="00342B72" w:rsidRDefault="00577B62" w:rsidP="00577B62">
      <w:pPr>
        <w:pStyle w:val="ListParagraph"/>
        <w:numPr>
          <w:ilvl w:val="0"/>
          <w:numId w:val="1"/>
        </w:numPr>
        <w:spacing w:after="0" w:line="240" w:lineRule="auto"/>
        <w:ind w:left="567" w:hanging="567"/>
        <w:jc w:val="both"/>
        <w:rPr>
          <w:rFonts w:cstheme="minorHAnsi"/>
        </w:rPr>
      </w:pPr>
      <w:r w:rsidRPr="00342B72">
        <w:rPr>
          <w:rFonts w:cstheme="minorHAnsi"/>
        </w:rPr>
        <w:t xml:space="preserve">This document is classified as </w:t>
      </w:r>
      <w:r w:rsidR="00862E3C">
        <w:rPr>
          <w:rFonts w:cstheme="minorHAnsi"/>
          <w:i/>
        </w:rPr>
        <w:t>public</w:t>
      </w:r>
      <w:r w:rsidRPr="00342B72">
        <w:rPr>
          <w:rFonts w:cstheme="minorHAnsi"/>
        </w:rPr>
        <w:t>.</w:t>
      </w:r>
    </w:p>
    <w:p w14:paraId="576E7E47" w14:textId="77777777" w:rsidR="00F93472" w:rsidRPr="0076591C" w:rsidRDefault="00F93472" w:rsidP="00910D8D">
      <w:pPr>
        <w:spacing w:after="0" w:line="240" w:lineRule="auto"/>
        <w:jc w:val="both"/>
        <w:rPr>
          <w:rFonts w:cstheme="minorHAnsi"/>
          <w:b/>
          <w:i/>
          <w:sz w:val="20"/>
          <w:szCs w:val="20"/>
        </w:rPr>
      </w:pPr>
    </w:p>
    <w:p w14:paraId="576E7E48" w14:textId="77777777" w:rsidR="00F93472" w:rsidRPr="0076591C" w:rsidRDefault="00F93472" w:rsidP="00910D8D">
      <w:pPr>
        <w:spacing w:after="0" w:line="240" w:lineRule="auto"/>
        <w:jc w:val="both"/>
        <w:rPr>
          <w:rFonts w:cstheme="minorHAnsi"/>
          <w:b/>
          <w:i/>
          <w:sz w:val="20"/>
          <w:szCs w:val="20"/>
        </w:rPr>
      </w:pPr>
    </w:p>
    <w:p w14:paraId="576E7E49" w14:textId="77777777" w:rsidR="001D3BF5" w:rsidRPr="0076591C" w:rsidRDefault="00577B62" w:rsidP="00910D8D">
      <w:pPr>
        <w:spacing w:after="0" w:line="240" w:lineRule="auto"/>
        <w:jc w:val="both"/>
        <w:rPr>
          <w:rFonts w:cstheme="minorHAnsi"/>
          <w:sz w:val="20"/>
          <w:szCs w:val="20"/>
        </w:rPr>
      </w:pPr>
      <w:r>
        <w:rPr>
          <w:rFonts w:cstheme="minorHAnsi"/>
          <w:b/>
          <w:sz w:val="20"/>
          <w:szCs w:val="20"/>
        </w:rPr>
        <w:t>Policy &amp; Planning</w:t>
      </w:r>
    </w:p>
    <w:p w14:paraId="576E7E4A" w14:textId="77777777" w:rsidR="00E00027" w:rsidRPr="0076591C" w:rsidRDefault="00E00027" w:rsidP="00910D8D">
      <w:pPr>
        <w:spacing w:after="0" w:line="240" w:lineRule="auto"/>
        <w:rPr>
          <w:rFonts w:cstheme="minorHAnsi"/>
          <w:b/>
          <w:sz w:val="20"/>
          <w:szCs w:val="20"/>
        </w:rPr>
      </w:pPr>
    </w:p>
    <w:sectPr w:rsidR="00E00027" w:rsidRPr="0076591C" w:rsidSect="00280D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7E4D" w14:textId="77777777" w:rsidR="00862E3C" w:rsidRDefault="00862E3C" w:rsidP="0086493B">
      <w:pPr>
        <w:spacing w:after="0" w:line="240" w:lineRule="auto"/>
      </w:pPr>
      <w:r>
        <w:separator/>
      </w:r>
    </w:p>
  </w:endnote>
  <w:endnote w:type="continuationSeparator" w:id="0">
    <w:p w14:paraId="576E7E4E" w14:textId="77777777" w:rsidR="00862E3C" w:rsidRDefault="00862E3C" w:rsidP="0086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722280"/>
      <w:docPartObj>
        <w:docPartGallery w:val="Page Numbers (Bottom of Page)"/>
        <w:docPartUnique/>
      </w:docPartObj>
    </w:sdtPr>
    <w:sdtEndPr/>
    <w:sdtContent>
      <w:p w14:paraId="576E7E4F" w14:textId="77777777" w:rsidR="00862E3C" w:rsidRDefault="00862E3C">
        <w:pPr>
          <w:pStyle w:val="Footer"/>
          <w:jc w:val="right"/>
        </w:pPr>
        <w:r>
          <w:fldChar w:fldCharType="begin"/>
        </w:r>
        <w:r>
          <w:instrText xml:space="preserve"> PAGE   \* MERGEFORMAT </w:instrText>
        </w:r>
        <w:r>
          <w:fldChar w:fldCharType="separate"/>
        </w:r>
        <w:r w:rsidR="00CB7262">
          <w:rPr>
            <w:noProof/>
          </w:rPr>
          <w:t>2</w:t>
        </w:r>
        <w:r>
          <w:rPr>
            <w:noProof/>
          </w:rPr>
          <w:fldChar w:fldCharType="end"/>
        </w:r>
      </w:p>
    </w:sdtContent>
  </w:sdt>
  <w:p w14:paraId="576E7E50" w14:textId="77777777" w:rsidR="00862E3C" w:rsidRDefault="00862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7E4B" w14:textId="77777777" w:rsidR="00862E3C" w:rsidRDefault="00862E3C" w:rsidP="0086493B">
      <w:pPr>
        <w:spacing w:after="0" w:line="240" w:lineRule="auto"/>
      </w:pPr>
      <w:r>
        <w:separator/>
      </w:r>
    </w:p>
  </w:footnote>
  <w:footnote w:type="continuationSeparator" w:id="0">
    <w:p w14:paraId="576E7E4C" w14:textId="77777777" w:rsidR="00862E3C" w:rsidRDefault="00862E3C" w:rsidP="00864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7DC2"/>
    <w:multiLevelType w:val="hybridMultilevel"/>
    <w:tmpl w:val="A648C9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4DA0383"/>
    <w:multiLevelType w:val="hybridMultilevel"/>
    <w:tmpl w:val="E29299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8753B58"/>
    <w:multiLevelType w:val="hybridMultilevel"/>
    <w:tmpl w:val="BB44A564"/>
    <w:lvl w:ilvl="0" w:tplc="08090001">
      <w:start w:val="1"/>
      <w:numFmt w:val="bullet"/>
      <w:lvlText w:val=""/>
      <w:lvlJc w:val="left"/>
      <w:pPr>
        <w:ind w:left="3294" w:hanging="360"/>
      </w:pPr>
      <w:rPr>
        <w:rFonts w:ascii="Symbol" w:hAnsi="Symbol" w:hint="default"/>
      </w:rPr>
    </w:lvl>
    <w:lvl w:ilvl="1" w:tplc="08090003" w:tentative="1">
      <w:start w:val="1"/>
      <w:numFmt w:val="bullet"/>
      <w:lvlText w:val="o"/>
      <w:lvlJc w:val="left"/>
      <w:pPr>
        <w:ind w:left="4014" w:hanging="360"/>
      </w:pPr>
      <w:rPr>
        <w:rFonts w:ascii="Courier New" w:hAnsi="Courier New" w:cs="Courier New" w:hint="default"/>
      </w:rPr>
    </w:lvl>
    <w:lvl w:ilvl="2" w:tplc="08090005" w:tentative="1">
      <w:start w:val="1"/>
      <w:numFmt w:val="bullet"/>
      <w:lvlText w:val=""/>
      <w:lvlJc w:val="left"/>
      <w:pPr>
        <w:ind w:left="4734" w:hanging="360"/>
      </w:pPr>
      <w:rPr>
        <w:rFonts w:ascii="Wingdings" w:hAnsi="Wingdings" w:hint="default"/>
      </w:rPr>
    </w:lvl>
    <w:lvl w:ilvl="3" w:tplc="08090001" w:tentative="1">
      <w:start w:val="1"/>
      <w:numFmt w:val="bullet"/>
      <w:lvlText w:val=""/>
      <w:lvlJc w:val="left"/>
      <w:pPr>
        <w:ind w:left="5454" w:hanging="360"/>
      </w:pPr>
      <w:rPr>
        <w:rFonts w:ascii="Symbol" w:hAnsi="Symbol" w:hint="default"/>
      </w:rPr>
    </w:lvl>
    <w:lvl w:ilvl="4" w:tplc="08090003" w:tentative="1">
      <w:start w:val="1"/>
      <w:numFmt w:val="bullet"/>
      <w:lvlText w:val="o"/>
      <w:lvlJc w:val="left"/>
      <w:pPr>
        <w:ind w:left="6174" w:hanging="360"/>
      </w:pPr>
      <w:rPr>
        <w:rFonts w:ascii="Courier New" w:hAnsi="Courier New" w:cs="Courier New" w:hint="default"/>
      </w:rPr>
    </w:lvl>
    <w:lvl w:ilvl="5" w:tplc="08090005" w:tentative="1">
      <w:start w:val="1"/>
      <w:numFmt w:val="bullet"/>
      <w:lvlText w:val=""/>
      <w:lvlJc w:val="left"/>
      <w:pPr>
        <w:ind w:left="6894" w:hanging="360"/>
      </w:pPr>
      <w:rPr>
        <w:rFonts w:ascii="Wingdings" w:hAnsi="Wingdings" w:hint="default"/>
      </w:rPr>
    </w:lvl>
    <w:lvl w:ilvl="6" w:tplc="08090001" w:tentative="1">
      <w:start w:val="1"/>
      <w:numFmt w:val="bullet"/>
      <w:lvlText w:val=""/>
      <w:lvlJc w:val="left"/>
      <w:pPr>
        <w:ind w:left="7614" w:hanging="360"/>
      </w:pPr>
      <w:rPr>
        <w:rFonts w:ascii="Symbol" w:hAnsi="Symbol" w:hint="default"/>
      </w:rPr>
    </w:lvl>
    <w:lvl w:ilvl="7" w:tplc="08090003" w:tentative="1">
      <w:start w:val="1"/>
      <w:numFmt w:val="bullet"/>
      <w:lvlText w:val="o"/>
      <w:lvlJc w:val="left"/>
      <w:pPr>
        <w:ind w:left="8334" w:hanging="360"/>
      </w:pPr>
      <w:rPr>
        <w:rFonts w:ascii="Courier New" w:hAnsi="Courier New" w:cs="Courier New" w:hint="default"/>
      </w:rPr>
    </w:lvl>
    <w:lvl w:ilvl="8" w:tplc="08090005" w:tentative="1">
      <w:start w:val="1"/>
      <w:numFmt w:val="bullet"/>
      <w:lvlText w:val=""/>
      <w:lvlJc w:val="left"/>
      <w:pPr>
        <w:ind w:left="9054" w:hanging="360"/>
      </w:pPr>
      <w:rPr>
        <w:rFonts w:ascii="Wingdings" w:hAnsi="Wingdings" w:hint="default"/>
      </w:rPr>
    </w:lvl>
  </w:abstractNum>
  <w:abstractNum w:abstractNumId="3" w15:restartNumberingAfterBreak="0">
    <w:nsid w:val="363838EC"/>
    <w:multiLevelType w:val="hybridMultilevel"/>
    <w:tmpl w:val="030E7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B9186B"/>
    <w:multiLevelType w:val="hybridMultilevel"/>
    <w:tmpl w:val="03EC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33203"/>
    <w:multiLevelType w:val="hybridMultilevel"/>
    <w:tmpl w:val="7C903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AD66EB"/>
    <w:multiLevelType w:val="hybridMultilevel"/>
    <w:tmpl w:val="43B87DF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636444AB"/>
    <w:multiLevelType w:val="hybridMultilevel"/>
    <w:tmpl w:val="5106E1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2086A42"/>
    <w:multiLevelType w:val="hybridMultilevel"/>
    <w:tmpl w:val="73D08F0C"/>
    <w:lvl w:ilvl="0" w:tplc="4FFCCBEE">
      <w:start w:val="1"/>
      <w:numFmt w:val="decimal"/>
      <w:lvlText w:val="%1"/>
      <w:lvlJc w:val="left"/>
      <w:pPr>
        <w:ind w:left="1080" w:hanging="72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7"/>
  </w:num>
  <w:num w:numId="5">
    <w:abstractNumId w:val="0"/>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27"/>
    <w:rsid w:val="000131F8"/>
    <w:rsid w:val="00027E71"/>
    <w:rsid w:val="0004322C"/>
    <w:rsid w:val="0007726B"/>
    <w:rsid w:val="0009390C"/>
    <w:rsid w:val="000A428F"/>
    <w:rsid w:val="000A6DE4"/>
    <w:rsid w:val="000C1B3E"/>
    <w:rsid w:val="000D217E"/>
    <w:rsid w:val="000D6D25"/>
    <w:rsid w:val="000D7CB6"/>
    <w:rsid w:val="00104F8A"/>
    <w:rsid w:val="00122035"/>
    <w:rsid w:val="00146468"/>
    <w:rsid w:val="00152B2C"/>
    <w:rsid w:val="00161D8F"/>
    <w:rsid w:val="0016715D"/>
    <w:rsid w:val="0017614E"/>
    <w:rsid w:val="00182BAA"/>
    <w:rsid w:val="00193094"/>
    <w:rsid w:val="001933EC"/>
    <w:rsid w:val="001C769C"/>
    <w:rsid w:val="001D1F14"/>
    <w:rsid w:val="001D3BF5"/>
    <w:rsid w:val="00201F75"/>
    <w:rsid w:val="00202857"/>
    <w:rsid w:val="00226E7B"/>
    <w:rsid w:val="002372B4"/>
    <w:rsid w:val="002444DF"/>
    <w:rsid w:val="00247141"/>
    <w:rsid w:val="00260525"/>
    <w:rsid w:val="00262722"/>
    <w:rsid w:val="00271CD8"/>
    <w:rsid w:val="00280D1A"/>
    <w:rsid w:val="002903C6"/>
    <w:rsid w:val="002A3181"/>
    <w:rsid w:val="002B5686"/>
    <w:rsid w:val="002B6B80"/>
    <w:rsid w:val="002C0F58"/>
    <w:rsid w:val="002D1172"/>
    <w:rsid w:val="002D6E0C"/>
    <w:rsid w:val="002E093E"/>
    <w:rsid w:val="00313F71"/>
    <w:rsid w:val="00316E1B"/>
    <w:rsid w:val="00335AA5"/>
    <w:rsid w:val="0036430F"/>
    <w:rsid w:val="00377946"/>
    <w:rsid w:val="00383A8D"/>
    <w:rsid w:val="00383C11"/>
    <w:rsid w:val="0039053E"/>
    <w:rsid w:val="00395FEE"/>
    <w:rsid w:val="003D013F"/>
    <w:rsid w:val="003D27FB"/>
    <w:rsid w:val="003F78F8"/>
    <w:rsid w:val="004012D5"/>
    <w:rsid w:val="0041623B"/>
    <w:rsid w:val="0042753C"/>
    <w:rsid w:val="0043131C"/>
    <w:rsid w:val="00432422"/>
    <w:rsid w:val="00464B87"/>
    <w:rsid w:val="0049230A"/>
    <w:rsid w:val="004D19FC"/>
    <w:rsid w:val="00505983"/>
    <w:rsid w:val="00523B8D"/>
    <w:rsid w:val="00530DE1"/>
    <w:rsid w:val="00541E03"/>
    <w:rsid w:val="00564B10"/>
    <w:rsid w:val="00577B62"/>
    <w:rsid w:val="005916F2"/>
    <w:rsid w:val="005A11F4"/>
    <w:rsid w:val="005B1BB7"/>
    <w:rsid w:val="005B7DED"/>
    <w:rsid w:val="005D5E1C"/>
    <w:rsid w:val="005D6DA1"/>
    <w:rsid w:val="005E3AFD"/>
    <w:rsid w:val="005E6652"/>
    <w:rsid w:val="005E75AE"/>
    <w:rsid w:val="00620ACF"/>
    <w:rsid w:val="006250E1"/>
    <w:rsid w:val="00636033"/>
    <w:rsid w:val="00640B5D"/>
    <w:rsid w:val="00667BB9"/>
    <w:rsid w:val="00683F3C"/>
    <w:rsid w:val="0068681C"/>
    <w:rsid w:val="006976EE"/>
    <w:rsid w:val="006B6FC9"/>
    <w:rsid w:val="006C2E12"/>
    <w:rsid w:val="006D223A"/>
    <w:rsid w:val="006D4941"/>
    <w:rsid w:val="006D4EB2"/>
    <w:rsid w:val="006E1B34"/>
    <w:rsid w:val="006E3582"/>
    <w:rsid w:val="006E4F57"/>
    <w:rsid w:val="006F08D8"/>
    <w:rsid w:val="00717E89"/>
    <w:rsid w:val="00721073"/>
    <w:rsid w:val="007278B9"/>
    <w:rsid w:val="0073170B"/>
    <w:rsid w:val="00732357"/>
    <w:rsid w:val="007355B1"/>
    <w:rsid w:val="00741034"/>
    <w:rsid w:val="007431D2"/>
    <w:rsid w:val="00761626"/>
    <w:rsid w:val="00764A9A"/>
    <w:rsid w:val="0076591C"/>
    <w:rsid w:val="00771D46"/>
    <w:rsid w:val="007764D4"/>
    <w:rsid w:val="007806AB"/>
    <w:rsid w:val="007C09B8"/>
    <w:rsid w:val="007C3400"/>
    <w:rsid w:val="007D1634"/>
    <w:rsid w:val="007D7AAA"/>
    <w:rsid w:val="007E4D67"/>
    <w:rsid w:val="007E4E66"/>
    <w:rsid w:val="007F417F"/>
    <w:rsid w:val="007F6F4D"/>
    <w:rsid w:val="00805D0C"/>
    <w:rsid w:val="00806C1B"/>
    <w:rsid w:val="00821A47"/>
    <w:rsid w:val="0083000E"/>
    <w:rsid w:val="00841B53"/>
    <w:rsid w:val="00851FDE"/>
    <w:rsid w:val="00862E3C"/>
    <w:rsid w:val="0086364C"/>
    <w:rsid w:val="0086493B"/>
    <w:rsid w:val="00871718"/>
    <w:rsid w:val="00887716"/>
    <w:rsid w:val="00897335"/>
    <w:rsid w:val="008D2A1A"/>
    <w:rsid w:val="008D4016"/>
    <w:rsid w:val="008E43C1"/>
    <w:rsid w:val="008F20D7"/>
    <w:rsid w:val="008F4067"/>
    <w:rsid w:val="00902796"/>
    <w:rsid w:val="00907028"/>
    <w:rsid w:val="00910D8D"/>
    <w:rsid w:val="00917E16"/>
    <w:rsid w:val="00921EAE"/>
    <w:rsid w:val="00927BAB"/>
    <w:rsid w:val="00932C6E"/>
    <w:rsid w:val="00933CBE"/>
    <w:rsid w:val="009468AC"/>
    <w:rsid w:val="00977CBE"/>
    <w:rsid w:val="0098204C"/>
    <w:rsid w:val="00996DA2"/>
    <w:rsid w:val="009A14E0"/>
    <w:rsid w:val="009A1930"/>
    <w:rsid w:val="009A5126"/>
    <w:rsid w:val="009A5FE1"/>
    <w:rsid w:val="009B68CD"/>
    <w:rsid w:val="009C3C04"/>
    <w:rsid w:val="009D0D76"/>
    <w:rsid w:val="00A14DD5"/>
    <w:rsid w:val="00A27693"/>
    <w:rsid w:val="00A34350"/>
    <w:rsid w:val="00A433F1"/>
    <w:rsid w:val="00A43D3F"/>
    <w:rsid w:val="00A82CDC"/>
    <w:rsid w:val="00A939CB"/>
    <w:rsid w:val="00AA2448"/>
    <w:rsid w:val="00AA46A7"/>
    <w:rsid w:val="00AB4285"/>
    <w:rsid w:val="00AD7ECB"/>
    <w:rsid w:val="00AE0873"/>
    <w:rsid w:val="00AE2466"/>
    <w:rsid w:val="00B10944"/>
    <w:rsid w:val="00B13350"/>
    <w:rsid w:val="00B13FFC"/>
    <w:rsid w:val="00B2098F"/>
    <w:rsid w:val="00B21CDE"/>
    <w:rsid w:val="00B40090"/>
    <w:rsid w:val="00B6493B"/>
    <w:rsid w:val="00B75D8E"/>
    <w:rsid w:val="00BB6984"/>
    <w:rsid w:val="00BB7040"/>
    <w:rsid w:val="00BD3028"/>
    <w:rsid w:val="00BD56F0"/>
    <w:rsid w:val="00BD682A"/>
    <w:rsid w:val="00BD73BB"/>
    <w:rsid w:val="00BE1EEC"/>
    <w:rsid w:val="00BE6ADF"/>
    <w:rsid w:val="00C00325"/>
    <w:rsid w:val="00C35C81"/>
    <w:rsid w:val="00C433E6"/>
    <w:rsid w:val="00C4571E"/>
    <w:rsid w:val="00C571B7"/>
    <w:rsid w:val="00C609E0"/>
    <w:rsid w:val="00C757F0"/>
    <w:rsid w:val="00C95A12"/>
    <w:rsid w:val="00CA05FE"/>
    <w:rsid w:val="00CB7262"/>
    <w:rsid w:val="00CD0068"/>
    <w:rsid w:val="00CD336A"/>
    <w:rsid w:val="00CF7671"/>
    <w:rsid w:val="00CF7B89"/>
    <w:rsid w:val="00D016CF"/>
    <w:rsid w:val="00D04B72"/>
    <w:rsid w:val="00D0521B"/>
    <w:rsid w:val="00D34B24"/>
    <w:rsid w:val="00D60FBF"/>
    <w:rsid w:val="00D61788"/>
    <w:rsid w:val="00D83CA5"/>
    <w:rsid w:val="00D944CB"/>
    <w:rsid w:val="00DA13D5"/>
    <w:rsid w:val="00DC00EB"/>
    <w:rsid w:val="00DC21A3"/>
    <w:rsid w:val="00DC7FAC"/>
    <w:rsid w:val="00DE49D0"/>
    <w:rsid w:val="00DE6184"/>
    <w:rsid w:val="00E00027"/>
    <w:rsid w:val="00E20FBE"/>
    <w:rsid w:val="00E2627E"/>
    <w:rsid w:val="00E44DCA"/>
    <w:rsid w:val="00E64B6A"/>
    <w:rsid w:val="00E81A81"/>
    <w:rsid w:val="00EA3D8F"/>
    <w:rsid w:val="00EA73FD"/>
    <w:rsid w:val="00EB204E"/>
    <w:rsid w:val="00ED3B07"/>
    <w:rsid w:val="00ED5E59"/>
    <w:rsid w:val="00EE7832"/>
    <w:rsid w:val="00EF07E5"/>
    <w:rsid w:val="00F22E57"/>
    <w:rsid w:val="00F25FB3"/>
    <w:rsid w:val="00F342D7"/>
    <w:rsid w:val="00F3766D"/>
    <w:rsid w:val="00F47FC7"/>
    <w:rsid w:val="00F54475"/>
    <w:rsid w:val="00F6341F"/>
    <w:rsid w:val="00F835A8"/>
    <w:rsid w:val="00F93472"/>
    <w:rsid w:val="00FB1B22"/>
    <w:rsid w:val="00FB7A3D"/>
    <w:rsid w:val="00FC4AEA"/>
    <w:rsid w:val="00FE58DF"/>
    <w:rsid w:val="00FF25C1"/>
    <w:rsid w:val="00FF7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7DFC"/>
  <w15:docId w15:val="{205997D7-3BA3-4FA8-9B95-02670210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C1B"/>
    <w:pPr>
      <w:ind w:left="720"/>
      <w:contextualSpacing/>
    </w:pPr>
  </w:style>
  <w:style w:type="paragraph" w:styleId="Header">
    <w:name w:val="header"/>
    <w:basedOn w:val="Normal"/>
    <w:link w:val="HeaderChar"/>
    <w:uiPriority w:val="99"/>
    <w:unhideWhenUsed/>
    <w:rsid w:val="00864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3B"/>
  </w:style>
  <w:style w:type="paragraph" w:styleId="Footer">
    <w:name w:val="footer"/>
    <w:basedOn w:val="Normal"/>
    <w:link w:val="FooterChar"/>
    <w:uiPriority w:val="99"/>
    <w:unhideWhenUsed/>
    <w:rsid w:val="00864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3B"/>
  </w:style>
  <w:style w:type="paragraph" w:styleId="BalloonText">
    <w:name w:val="Balloon Text"/>
    <w:basedOn w:val="Normal"/>
    <w:link w:val="BalloonTextChar"/>
    <w:uiPriority w:val="99"/>
    <w:semiHidden/>
    <w:unhideWhenUsed/>
    <w:rsid w:val="000D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7E"/>
    <w:rPr>
      <w:rFonts w:ascii="Tahoma" w:hAnsi="Tahoma" w:cs="Tahoma"/>
      <w:sz w:val="16"/>
      <w:szCs w:val="16"/>
    </w:rPr>
  </w:style>
  <w:style w:type="character" w:styleId="CommentReference">
    <w:name w:val="annotation reference"/>
    <w:basedOn w:val="DefaultParagraphFont"/>
    <w:uiPriority w:val="99"/>
    <w:semiHidden/>
    <w:unhideWhenUsed/>
    <w:rsid w:val="001D1F14"/>
    <w:rPr>
      <w:sz w:val="16"/>
      <w:szCs w:val="16"/>
    </w:rPr>
  </w:style>
  <w:style w:type="paragraph" w:styleId="CommentText">
    <w:name w:val="annotation text"/>
    <w:basedOn w:val="Normal"/>
    <w:link w:val="CommentTextChar"/>
    <w:uiPriority w:val="99"/>
    <w:semiHidden/>
    <w:unhideWhenUsed/>
    <w:rsid w:val="001D1F14"/>
    <w:pPr>
      <w:spacing w:line="240" w:lineRule="auto"/>
    </w:pPr>
    <w:rPr>
      <w:sz w:val="20"/>
      <w:szCs w:val="20"/>
    </w:rPr>
  </w:style>
  <w:style w:type="character" w:customStyle="1" w:styleId="CommentTextChar">
    <w:name w:val="Comment Text Char"/>
    <w:basedOn w:val="DefaultParagraphFont"/>
    <w:link w:val="CommentText"/>
    <w:uiPriority w:val="99"/>
    <w:semiHidden/>
    <w:rsid w:val="001D1F14"/>
    <w:rPr>
      <w:sz w:val="20"/>
      <w:szCs w:val="20"/>
    </w:rPr>
  </w:style>
  <w:style w:type="paragraph" w:styleId="CommentSubject">
    <w:name w:val="annotation subject"/>
    <w:basedOn w:val="CommentText"/>
    <w:next w:val="CommentText"/>
    <w:link w:val="CommentSubjectChar"/>
    <w:uiPriority w:val="99"/>
    <w:semiHidden/>
    <w:unhideWhenUsed/>
    <w:rsid w:val="001D1F14"/>
    <w:rPr>
      <w:b/>
      <w:bCs/>
    </w:rPr>
  </w:style>
  <w:style w:type="character" w:customStyle="1" w:styleId="CommentSubjectChar">
    <w:name w:val="Comment Subject Char"/>
    <w:basedOn w:val="CommentTextChar"/>
    <w:link w:val="CommentSubject"/>
    <w:uiPriority w:val="99"/>
    <w:semiHidden/>
    <w:rsid w:val="001D1F14"/>
    <w:rPr>
      <w:b/>
      <w:bCs/>
      <w:sz w:val="20"/>
      <w:szCs w:val="20"/>
    </w:rPr>
  </w:style>
  <w:style w:type="character" w:styleId="Hyperlink">
    <w:name w:val="Hyperlink"/>
    <w:basedOn w:val="DefaultParagraphFont"/>
    <w:uiPriority w:val="99"/>
    <w:unhideWhenUsed/>
    <w:rsid w:val="005D5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54BA6-24FD-4F26-8A3E-F384DFD38194}">
  <ds:schemaRefs>
    <ds:schemaRef ds:uri="http://schemas.microsoft.com/sharepoint/v3/contenttype/forms"/>
  </ds:schemaRefs>
</ds:datastoreItem>
</file>

<file path=customXml/itemProps2.xml><?xml version="1.0" encoding="utf-8"?>
<ds:datastoreItem xmlns:ds="http://schemas.openxmlformats.org/officeDocument/2006/customXml" ds:itemID="{E6502FD3-D1C5-49A0-B251-656B92BD190C}">
  <ds:schemaRefs>
    <ds:schemaRef ds:uri="http://schemas.openxmlformats.org/officeDocument/2006/bibliography"/>
  </ds:schemaRefs>
</ds:datastoreItem>
</file>

<file path=customXml/itemProps3.xml><?xml version="1.0" encoding="utf-8"?>
<ds:datastoreItem xmlns:ds="http://schemas.openxmlformats.org/officeDocument/2006/customXml" ds:itemID="{37312147-5358-48A0-81B3-A4C86CE2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51B22-0E30-48ED-B1BA-C2EEA3CE6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jb56</dc:creator>
  <cp:lastModifiedBy>Fiona Wheater</cp:lastModifiedBy>
  <cp:revision>10</cp:revision>
  <cp:lastPrinted>2019-04-17T11:08:00Z</cp:lastPrinted>
  <dcterms:created xsi:type="dcterms:W3CDTF">2019-02-01T09:38:00Z</dcterms:created>
  <dcterms:modified xsi:type="dcterms:W3CDTF">2022-02-23T16:23:00Z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2022-02-23T16:23:04Z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10392c69-4506-4556-8eab-ffda49b65d5d</vt:lpwstr>
  </property>
  <property fmtid="{D5CDD505-2E9C-101B-9397-08002B2CF9AE}" pid="9" name="MSIP_Label_946b3323-a1ee-4a37-8c29-8d71baf7a927_ContentBits">
    <vt:lpwstr>0</vt:lpwstr>
  </property>
</Properties>
</file>