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E2F5" w14:textId="17F67A7B" w:rsidR="00C97FBF" w:rsidRPr="001B18B3" w:rsidRDefault="004D0D27" w:rsidP="00C97FBF">
      <w:pPr>
        <w:spacing w:line="360" w:lineRule="auto"/>
        <w:ind w:left="720"/>
        <w:jc w:val="righ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76B909C0" wp14:editId="5CC66792">
            <wp:extent cx="2158365" cy="731520"/>
            <wp:effectExtent l="0" t="0" r="0" b="0"/>
            <wp:docPr id="954244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44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9B69C" w14:textId="77777777" w:rsidR="00C97FBF" w:rsidRPr="004D0D27" w:rsidRDefault="00C97FBF" w:rsidP="00C97FBF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4D0D27">
        <w:rPr>
          <w:rFonts w:asciiTheme="minorHAnsi" w:hAnsiTheme="minorHAnsi"/>
          <w:b/>
          <w:color w:val="000000" w:themeColor="text1"/>
          <w:sz w:val="24"/>
          <w:szCs w:val="24"/>
        </w:rPr>
        <w:t>UNIVERSITY COURT</w:t>
      </w:r>
    </w:p>
    <w:p w14:paraId="7F3F3DD5" w14:textId="77777777" w:rsidR="00C97FBF" w:rsidRPr="004D0D27" w:rsidRDefault="00C97FBF" w:rsidP="00C97FBF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834194D" w14:textId="77777777" w:rsidR="00C97FBF" w:rsidRPr="004D0D27" w:rsidRDefault="00C97FBF" w:rsidP="00C97FBF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4D0D27">
        <w:rPr>
          <w:rFonts w:asciiTheme="minorHAnsi" w:hAnsiTheme="minorHAnsi"/>
          <w:b/>
          <w:color w:val="000000" w:themeColor="text1"/>
          <w:sz w:val="24"/>
          <w:szCs w:val="24"/>
        </w:rPr>
        <w:t>SUMMARY OF THE ROLE OF THE CHAIR OF COURT</w:t>
      </w:r>
    </w:p>
    <w:p w14:paraId="41BB81CE" w14:textId="77777777" w:rsidR="00C97FBF" w:rsidRPr="004D0D27" w:rsidRDefault="00C97FBF" w:rsidP="00C97FBF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</w:p>
    <w:p w14:paraId="37A8296F" w14:textId="25C44C0A" w:rsidR="00406E45" w:rsidRPr="004D0D27" w:rsidRDefault="00406E45">
      <w:pPr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D0D27">
        <w:rPr>
          <w:rFonts w:asciiTheme="minorHAnsi" w:hAnsiTheme="minorHAnsi"/>
          <w:b/>
          <w:bCs/>
          <w:color w:val="000000" w:themeColor="text1"/>
          <w:sz w:val="24"/>
          <w:szCs w:val="24"/>
        </w:rPr>
        <w:t>The role of the Chair of Court</w:t>
      </w:r>
    </w:p>
    <w:p w14:paraId="566E0426" w14:textId="77777777" w:rsidR="00406E45" w:rsidRDefault="00406E45" w:rsidP="00B97DA6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5BB209" w14:textId="76A5EC7A" w:rsidR="00B97DA6" w:rsidRPr="00A442A4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The Chair is responsible for the leadership and effectiveness of Court and shall ensure that the University is well connected with its stakeholders, including its staff and students.</w:t>
      </w:r>
    </w:p>
    <w:p w14:paraId="153ADD77" w14:textId="0E4ED275" w:rsidR="00B97DA6" w:rsidRPr="00A442A4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8CB930" w14:textId="1D9CB616" w:rsidR="00B97DA6" w:rsidRPr="00A442A4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42A4">
        <w:rPr>
          <w:rFonts w:asciiTheme="minorHAnsi" w:hAnsiTheme="minorHAnsi" w:cstheme="minorHAnsi"/>
          <w:sz w:val="22"/>
          <w:szCs w:val="22"/>
        </w:rPr>
        <w:t>In overseeing the discharge of duties, the Chair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should ensure that Court members work together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effectively and efficiently and have confidence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in the procedures laid down for the conduct of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business. It is incumbent on the Chair that, both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individually and collectively, Members of Court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observe the nine principles of public life in Scotland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as defined by the Scottish Government’s Model Code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of Conduct for Members of Devolved Public Bodies.</w:t>
      </w:r>
    </w:p>
    <w:p w14:paraId="5D710C9B" w14:textId="77777777" w:rsidR="00EE0849" w:rsidRPr="00A442A4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42A4">
        <w:rPr>
          <w:rFonts w:asciiTheme="minorHAnsi" w:hAnsiTheme="minorHAnsi" w:cstheme="minorHAnsi"/>
          <w:sz w:val="22"/>
          <w:szCs w:val="22"/>
        </w:rPr>
        <w:t>These are: duty; selflessness; integrity; accountability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and stewardship; objectivity; openness; honesty;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leadership and respect.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0EC09" w14:textId="77777777" w:rsidR="00EE0849" w:rsidRPr="00A442A4" w:rsidRDefault="00EE0849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0EC9D23" w14:textId="63F508C9" w:rsidR="00B97DA6" w:rsidRPr="00A442A4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42A4">
        <w:rPr>
          <w:rFonts w:asciiTheme="minorHAnsi" w:hAnsiTheme="minorHAnsi" w:cstheme="minorHAnsi"/>
          <w:sz w:val="22"/>
          <w:szCs w:val="22"/>
        </w:rPr>
        <w:t>The Chair of Court plays a key leadership role in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442A4">
        <w:rPr>
          <w:rFonts w:asciiTheme="minorHAnsi" w:hAnsiTheme="minorHAnsi" w:cstheme="minorHAnsi"/>
          <w:sz w:val="22"/>
          <w:szCs w:val="22"/>
        </w:rPr>
        <w:t>University</w:t>
      </w:r>
      <w:proofErr w:type="gramEnd"/>
      <w:r w:rsidRPr="00A442A4">
        <w:rPr>
          <w:rFonts w:asciiTheme="minorHAnsi" w:hAnsiTheme="minorHAnsi" w:cstheme="minorHAnsi"/>
          <w:sz w:val="22"/>
          <w:szCs w:val="22"/>
        </w:rPr>
        <w:t xml:space="preserve"> business but should not be drawn into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the day-to-day executive management of the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institution. A critical component of institutional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effectiveness is the establishment of a constructive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working relationship between the Chair of Court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and the Principal. The relationship should be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mutually supportive but respectful of the checks and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balances imposed by the different roles within the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University’s constitutional framework.</w:t>
      </w:r>
    </w:p>
    <w:p w14:paraId="12044C06" w14:textId="49E53A87" w:rsidR="00B97DA6" w:rsidRPr="00A442A4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FF0C497" w14:textId="77777777" w:rsidR="00EE0849" w:rsidRPr="00A442A4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42A4">
        <w:rPr>
          <w:rFonts w:asciiTheme="minorHAnsi" w:hAnsiTheme="minorHAnsi" w:cstheme="minorHAnsi"/>
          <w:sz w:val="22"/>
          <w:szCs w:val="22"/>
        </w:rPr>
        <w:t>There is also a close working relationship between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the Chair of Court and the University Secretary with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whom there is a direct reporting link in relation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to the conduct of Court business. The University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Secretary provides guidance to the Court in terms of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its responsibilities and discharge of duties under the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University’s Charter, Statutes and Ordinances.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708917" w14:textId="77777777" w:rsidR="00EE0849" w:rsidRPr="00A442A4" w:rsidRDefault="00EE0849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FC8C8E1" w14:textId="77777777" w:rsidR="00EE0849" w:rsidRPr="00A442A4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42A4">
        <w:rPr>
          <w:rFonts w:asciiTheme="minorHAnsi" w:hAnsiTheme="minorHAnsi" w:cstheme="minorHAnsi"/>
          <w:sz w:val="22"/>
          <w:szCs w:val="22"/>
        </w:rPr>
        <w:t>The performance of the Chair is reviewed annually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by Court in accordance with the Scottish Code for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sz w:val="22"/>
          <w:szCs w:val="22"/>
        </w:rPr>
        <w:t>Good Higher Education Governance.</w:t>
      </w:r>
      <w:r w:rsidR="00EE0849" w:rsidRPr="00A442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08701A" w14:textId="77777777" w:rsidR="00EE0849" w:rsidRPr="00A442A4" w:rsidRDefault="00EE0849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1F2EA6A" w14:textId="68DEED43" w:rsidR="0092505E" w:rsidRPr="00A442A4" w:rsidRDefault="00EE0849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Chair of Court Responsibilities</w:t>
      </w:r>
    </w:p>
    <w:p w14:paraId="6147A969" w14:textId="153B0B05" w:rsidR="005B0A54" w:rsidRPr="00A442A4" w:rsidRDefault="005B0A5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F2E3584" w14:textId="77777777" w:rsidR="005B0A54" w:rsidRPr="00A442A4" w:rsidRDefault="005B0A54" w:rsidP="005B0A54">
      <w:pPr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Effective and Inclusive Meetings</w:t>
      </w:r>
    </w:p>
    <w:p w14:paraId="1AC7D95B" w14:textId="0B83B62F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preside at meetings of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Court</w:t>
      </w:r>
      <w:r w:rsidR="00561DC1"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  <w:proofErr w:type="gramEnd"/>
    </w:p>
    <w:p w14:paraId="7FEA27B6" w14:textId="7777777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ensure that members work together effectively, cohesively and in good spirit and have confidence in the procedures laid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down;</w:t>
      </w:r>
      <w:proofErr w:type="gramEnd"/>
    </w:p>
    <w:p w14:paraId="55025F09" w14:textId="7777777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ensure that Court discusses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all of</w:t>
      </w:r>
      <w:proofErr w:type="gramEnd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the key issues affecting the University and that its business is conducted smoothly and in accordance with Standing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Orders;</w:t>
      </w:r>
      <w:proofErr w:type="gramEnd"/>
    </w:p>
    <w:p w14:paraId="5704C817" w14:textId="7777777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contribute to collective decision-making and act only in the interests of the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University;</w:t>
      </w:r>
      <w:proofErr w:type="gramEnd"/>
    </w:p>
    <w:p w14:paraId="6D7D02CE" w14:textId="7777777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ensure that Court operates efficiently and effectively, with all members having the opportunity to express their views and to participate in, and contribute to,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decision-making;</w:t>
      </w:r>
      <w:proofErr w:type="gramEnd"/>
    </w:p>
    <w:p w14:paraId="6FE17A9D" w14:textId="7777777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To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monitor on an ongoing basis the performance of the Court, and ensure that it both observes </w:t>
      </w: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principles of public life</w:t>
      </w:r>
      <w:r w:rsidRPr="00A442A4">
        <w:rPr>
          <w:rStyle w:val="FootnoteReference"/>
          <w:rFonts w:asciiTheme="minorHAnsi" w:hAnsiTheme="minorHAnsi" w:cstheme="minorHAnsi"/>
          <w:bCs/>
          <w:color w:val="000000" w:themeColor="text1"/>
          <w:sz w:val="22"/>
          <w:szCs w:val="22"/>
        </w:rPr>
        <w:footnoteReference w:id="1"/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operates in a manner consistent with the concepts of good practice in corporate governance in higher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education</w:t>
      </w: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  <w:proofErr w:type="gramEnd"/>
    </w:p>
    <w:p w14:paraId="3829DAE3" w14:textId="7777777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Chair the Governance &amp; Nominations Committee, and be involved as a member of such other committees and working groups as Court may determine from time to time including the Remunerations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Committee;</w:t>
      </w:r>
      <w:proofErr w:type="gramEnd"/>
    </w:p>
    <w:p w14:paraId="38BF0810" w14:textId="39F282B1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ensure that Court committees report appropriately on their work, and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 particular o</w:t>
      </w:r>
      <w:r w:rsidR="00406E45"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</w:t>
      </w:r>
      <w:proofErr w:type="gramEnd"/>
      <w:r w:rsidR="00406E45"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their use of delegated powers.</w:t>
      </w:r>
    </w:p>
    <w:p w14:paraId="13A5203D" w14:textId="77777777" w:rsidR="005B0A54" w:rsidRPr="00A442A4" w:rsidRDefault="005B0A54" w:rsidP="005B0A5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0D27025" w14:textId="77777777" w:rsidR="005B0A54" w:rsidRPr="00A442A4" w:rsidRDefault="005B0A54" w:rsidP="005B0A54">
      <w:pPr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Personal Integrity</w:t>
      </w:r>
    </w:p>
    <w:p w14:paraId="642506D1" w14:textId="7777777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act at all times</w:t>
      </w:r>
      <w:proofErr w:type="gramEnd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 ways that are consistent with the University’s values and especially its commitment to equality, diversity and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inclusion;</w:t>
      </w:r>
      <w:proofErr w:type="gramEnd"/>
    </w:p>
    <w:p w14:paraId="7B8375C9" w14:textId="368D402D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be answerable to Court </w:t>
      </w:r>
      <w:r w:rsidR="00406E45"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for actions taken on its behalf.</w:t>
      </w:r>
    </w:p>
    <w:p w14:paraId="7D4A9581" w14:textId="77777777" w:rsidR="005B0A54" w:rsidRPr="00A442A4" w:rsidRDefault="005B0A54" w:rsidP="005B0A5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1566EE0" w14:textId="56F0EFF5" w:rsidR="005B0A54" w:rsidRPr="00A442A4" w:rsidRDefault="005B0A54" w:rsidP="005B0A54">
      <w:pPr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Governance</w:t>
      </w:r>
    </w:p>
    <w:p w14:paraId="5BE84856" w14:textId="7777777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ensure that the effectiveness of Court and its members are regularly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reviewed;</w:t>
      </w:r>
      <w:proofErr w:type="gramEnd"/>
    </w:p>
    <w:p w14:paraId="792BF796" w14:textId="7777777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take delegated action when agreed by Court and to report back to Court on any action taken on its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behalf;</w:t>
      </w:r>
      <w:proofErr w:type="gramEnd"/>
    </w:p>
    <w:p w14:paraId="26C6285C" w14:textId="7066AAB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work with officers to ensure the induction of </w:t>
      </w:r>
      <w:r w:rsidR="00406E45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new members.</w:t>
      </w:r>
    </w:p>
    <w:p w14:paraId="1B07166F" w14:textId="77777777" w:rsidR="005B0A54" w:rsidRPr="00A442A4" w:rsidRDefault="005B0A54" w:rsidP="005B0A5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9F45EF6" w14:textId="77777777" w:rsidR="005B0A54" w:rsidRPr="00A442A4" w:rsidRDefault="005B0A54" w:rsidP="005B0A54">
      <w:pPr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Interface with Management and the Executive</w:t>
      </w:r>
    </w:p>
    <w:p w14:paraId="2EEBFDE0" w14:textId="7DA7DD04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ensure there is an appropriate balance of authority between the Court and the Principal </w:t>
      </w:r>
      <w:r w:rsidR="00EE0849"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</w:t>
      </w: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Vice-Chancellor and to develop and maintain a constructive, but appropriately challenging, relationship with the Principal </w:t>
      </w:r>
      <w:r w:rsidR="00406E45"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</w:t>
      </w: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Vice-Chancellor </w:t>
      </w:r>
      <w:r w:rsidR="00406E45"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which</w:t>
      </w: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is mutually supportive but properly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distinct;</w:t>
      </w:r>
      <w:proofErr w:type="gramEnd"/>
    </w:p>
    <w:p w14:paraId="2E77539E" w14:textId="7777777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develop and maintain a constructive, but appropriately challenging, relationship with the University Secretary and those officers that support the work of Court whilst maintaining a distinction between the role of management and </w:t>
      </w:r>
      <w:proofErr w:type="gramStart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governors;</w:t>
      </w:r>
      <w:proofErr w:type="gramEnd"/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32CF94B0" w14:textId="51C5309A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 a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ppraise, on an annual basis, the performance of the Principal </w:t>
      </w:r>
      <w:r w:rsidR="00406E45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Vice-Chancellor including seeking and considering th</w:t>
      </w:r>
      <w:r w:rsidR="00406E45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e views of each member of Court.</w:t>
      </w:r>
    </w:p>
    <w:p w14:paraId="6087F7EE" w14:textId="77777777" w:rsidR="005B0A54" w:rsidRPr="00A442A4" w:rsidRDefault="005B0A54" w:rsidP="005B0A5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B3F570D" w14:textId="77777777" w:rsidR="005B0A54" w:rsidRPr="00A442A4" w:rsidRDefault="005B0A54" w:rsidP="005B0A54">
      <w:pPr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Ambassadorial Role</w:t>
      </w:r>
    </w:p>
    <w:p w14:paraId="27FB75A6" w14:textId="77777777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act as an ambassador for the University at internal and external meetings, events and other occasions as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appropriate;</w:t>
      </w:r>
      <w:proofErr w:type="gramEnd"/>
    </w:p>
    <w:p w14:paraId="74DD38AB" w14:textId="572B9A39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represent the University on the Committee of University Chairs (CUC) and on such other bodies as Court </w:t>
      </w:r>
      <w:r w:rsidR="00406E45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may determine from time to </w:t>
      </w:r>
      <w:proofErr w:type="gramStart"/>
      <w:r w:rsidR="00406E45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time;</w:t>
      </w:r>
      <w:proofErr w:type="gramEnd"/>
    </w:p>
    <w:p w14:paraId="65D3F061" w14:textId="6DC2D723" w:rsidR="005B0A54" w:rsidRPr="00A442A4" w:rsidRDefault="005B0A54" w:rsidP="005B0A54">
      <w:pPr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 be responsible to the University’s stakeholders for the leadership and effect</w:t>
      </w:r>
      <w:r w:rsidR="00406E45" w:rsidRPr="00A442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iveness of the University Court.</w:t>
      </w:r>
    </w:p>
    <w:p w14:paraId="15228B8C" w14:textId="69502D55" w:rsidR="005B0A54" w:rsidRPr="00A442A4" w:rsidRDefault="005B0A5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1AC6D4B" w14:textId="77777777" w:rsidR="00406E45" w:rsidRPr="00A442A4" w:rsidRDefault="00406E45">
      <w:p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706708F6" w14:textId="5701F8A3" w:rsidR="005B0A54" w:rsidRPr="00A442A4" w:rsidRDefault="005B0A54" w:rsidP="005B0A54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Role specification</w:t>
      </w:r>
    </w:p>
    <w:p w14:paraId="27B951CC" w14:textId="77777777" w:rsidR="00561DC1" w:rsidRPr="00A442A4" w:rsidRDefault="00561DC1" w:rsidP="005B0A5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ED5DBE" w14:textId="7B9F4224" w:rsidR="005B0A54" w:rsidRPr="00A442A4" w:rsidRDefault="005B0A54" w:rsidP="005B0A5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In addition to the competencies required of all lay members of Court, the following represent key attributes for the role of Chair:</w:t>
      </w:r>
    </w:p>
    <w:p w14:paraId="020DFE9C" w14:textId="77777777" w:rsidR="005B0A54" w:rsidRPr="00A442A4" w:rsidRDefault="005B0A54" w:rsidP="005B0A5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CFABF2" w14:textId="2F103C84" w:rsidR="005B0A54" w:rsidRPr="00A442A4" w:rsidRDefault="005B0A54" w:rsidP="005B0A5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Experience and knowledge</w:t>
      </w:r>
    </w:p>
    <w:p w14:paraId="29043004" w14:textId="77777777" w:rsidR="005B0A54" w:rsidRPr="00A442A4" w:rsidRDefault="005B0A54" w:rsidP="005B0A5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Essential</w:t>
      </w:r>
    </w:p>
    <w:p w14:paraId="20B2DFC6" w14:textId="23720F0A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442A4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track record as a successful executive or non-executive leader with substantial level experience working within an organisation of comparable size and complexity to the </w:t>
      </w:r>
      <w:proofErr w:type="gramStart"/>
      <w:r w:rsidR="00A442A4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University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proofErr w:type="gramEnd"/>
    </w:p>
    <w:p w14:paraId="093F6C00" w14:textId="38B15C9C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06E45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rofessional expertise in matters relevant to the successful operations of a large, diverse organisation, e.g. commercial acumen, human resources, risk management, organisational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change;</w:t>
      </w:r>
      <w:proofErr w:type="gramEnd"/>
    </w:p>
    <w:p w14:paraId="611EF0E6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Experience of chairing high level, strategic board and committee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meetings;</w:t>
      </w:r>
      <w:proofErr w:type="gramEnd"/>
    </w:p>
    <w:p w14:paraId="260F4915" w14:textId="65A50D3E" w:rsidR="00A442A4" w:rsidRPr="00A442A4" w:rsidRDefault="00A442A4" w:rsidP="00A442A4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Excellent communication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skills;</w:t>
      </w:r>
      <w:proofErr w:type="gramEnd"/>
    </w:p>
    <w:p w14:paraId="7B0C8A88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Knowledge or understanding of governance in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organisations;</w:t>
      </w:r>
      <w:proofErr w:type="gramEnd"/>
    </w:p>
    <w:p w14:paraId="2B2B8196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Understanding and experience of strategic planning, financial planning and budgetary processes.</w:t>
      </w:r>
    </w:p>
    <w:p w14:paraId="3F172CD6" w14:textId="77777777" w:rsidR="005B0A54" w:rsidRPr="00A442A4" w:rsidRDefault="005B0A54" w:rsidP="005B0A5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1FE34F" w14:textId="77777777" w:rsidR="005B0A54" w:rsidRPr="00A442A4" w:rsidRDefault="005B0A54" w:rsidP="005B0A5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Desirable</w:t>
      </w:r>
    </w:p>
    <w:p w14:paraId="1D60382D" w14:textId="5B22B951" w:rsidR="005B0A54" w:rsidRPr="00A442A4" w:rsidRDefault="005B0A54" w:rsidP="00A442A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442A4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Knowledge of the University of Stirling or equivalent research-led universities.</w:t>
      </w:r>
    </w:p>
    <w:p w14:paraId="0F57CE2C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Knowledge of philanthropic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fundraising;</w:t>
      </w:r>
      <w:proofErr w:type="gramEnd"/>
    </w:p>
    <w:p w14:paraId="6123C833" w14:textId="16574724" w:rsidR="005B0A54" w:rsidRPr="00A442A4" w:rsidRDefault="005B0A54" w:rsidP="00A442A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Knowledge of the international environment, particularly in relation to </w:t>
      </w:r>
      <w:r w:rsidR="00A442A4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igher </w:t>
      </w:r>
      <w:proofErr w:type="gramStart"/>
      <w:r w:rsidR="00A442A4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ducation;</w:t>
      </w:r>
      <w:proofErr w:type="gramEnd"/>
    </w:p>
    <w:p w14:paraId="34C4307C" w14:textId="77777777" w:rsidR="005B0A54" w:rsidRPr="00A442A4" w:rsidRDefault="005B0A54" w:rsidP="005B0A5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84C45C" w14:textId="77777777" w:rsidR="005B0A54" w:rsidRPr="00A442A4" w:rsidRDefault="005B0A54" w:rsidP="005B0A5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Personal attributes and qualities</w:t>
      </w:r>
    </w:p>
    <w:p w14:paraId="316DE9EB" w14:textId="77777777" w:rsidR="005B0A54" w:rsidRPr="00A442A4" w:rsidRDefault="005B0A54" w:rsidP="005B0A5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The following represent key, essential attributes for the role of Chair:</w:t>
      </w:r>
    </w:p>
    <w:p w14:paraId="60B3B6CF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Integrity;</w:t>
      </w:r>
      <w:proofErr w:type="gramEnd"/>
    </w:p>
    <w:p w14:paraId="69790641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Independence and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objectivity;</w:t>
      </w:r>
      <w:proofErr w:type="gramEnd"/>
    </w:p>
    <w:p w14:paraId="62F1CA65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Tact, diplomacy and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sensitivity;</w:t>
      </w:r>
      <w:proofErr w:type="gramEnd"/>
    </w:p>
    <w:p w14:paraId="70EE7C46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Sound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judgement;</w:t>
      </w:r>
      <w:proofErr w:type="gramEnd"/>
    </w:p>
    <w:p w14:paraId="082285BD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Demonstrable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authority;</w:t>
      </w:r>
      <w:proofErr w:type="gramEnd"/>
    </w:p>
    <w:p w14:paraId="2F716453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The ability to command the trust and respect of the Court, Academic Council and the staff and students of the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University;</w:t>
      </w:r>
      <w:proofErr w:type="gramEnd"/>
    </w:p>
    <w:p w14:paraId="2C2294A0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The ability to address and resolve conflicting views in a constructive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manner;</w:t>
      </w:r>
      <w:proofErr w:type="gramEnd"/>
    </w:p>
    <w:p w14:paraId="45AC9B1C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The ability to constructively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challenge;</w:t>
      </w:r>
      <w:proofErr w:type="gramEnd"/>
    </w:p>
    <w:p w14:paraId="09C76AF9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Calm, measured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approach;</w:t>
      </w:r>
      <w:proofErr w:type="gramEnd"/>
    </w:p>
    <w:p w14:paraId="425F9837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The skills of networking, influencing and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advocacy;</w:t>
      </w:r>
      <w:proofErr w:type="gramEnd"/>
    </w:p>
    <w:p w14:paraId="685F53F0" w14:textId="77777777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The ability to establish cordial relationships with a diverse range of people across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all of</w:t>
      </w:r>
      <w:proofErr w:type="gramEnd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University’s stakeholder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groups;</w:t>
      </w:r>
      <w:proofErr w:type="gramEnd"/>
    </w:p>
    <w:p w14:paraId="2C2415D9" w14:textId="17C2E3EC" w:rsidR="005B0A54" w:rsidRPr="00A442A4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A strong personal commitment to </w:t>
      </w:r>
      <w:r w:rsidR="00A442A4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igher </w:t>
      </w:r>
      <w:r w:rsidR="00A442A4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ducation and empathy with the values and aims of the University of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Stirling;</w:t>
      </w:r>
      <w:proofErr w:type="gramEnd"/>
    </w:p>
    <w:p w14:paraId="7F6702BD" w14:textId="77777777" w:rsidR="005B0A54" w:rsidRPr="00A442A4" w:rsidRDefault="005B0A54" w:rsidP="005B0A54">
      <w:pPr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Demonstrable commitment to equality and diversity.</w:t>
      </w:r>
    </w:p>
    <w:p w14:paraId="7FF4C9F1" w14:textId="6CF42838" w:rsidR="005B0A54" w:rsidRPr="00A442A4" w:rsidRDefault="005B0A54" w:rsidP="009250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A8BCF3" w14:textId="1C370618" w:rsidR="0092505E" w:rsidRPr="00A442A4" w:rsidRDefault="0092505E" w:rsidP="0092505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Terms of appointment</w:t>
      </w:r>
    </w:p>
    <w:p w14:paraId="28656C74" w14:textId="77777777" w:rsidR="0092505E" w:rsidRPr="00A442A4" w:rsidRDefault="0092505E" w:rsidP="0092505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5FE5E21" w14:textId="1EA3C02E" w:rsidR="00C97FBF" w:rsidRPr="00A442A4" w:rsidRDefault="00561DC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In accordance with the Higher Education Governance (Scotland) Act 2016 the Chair of Court is elected by the students, staff and Court members of the University.  Under the Charter &amp; Statutes, the Chair of Court holds office for four years.  At the expiry of that period, the Chair is eligible for re-appointed for a further four years.</w:t>
      </w:r>
    </w:p>
    <w:p w14:paraId="1A6DF67A" w14:textId="77777777" w:rsidR="0092505E" w:rsidRPr="00A442A4" w:rsidRDefault="009250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955BAC" w14:textId="77777777" w:rsidR="0092505E" w:rsidRPr="00A442A4" w:rsidRDefault="0092505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Time commitment </w:t>
      </w:r>
    </w:p>
    <w:p w14:paraId="07EA958D" w14:textId="77777777" w:rsidR="00C236E8" w:rsidRPr="00A442A4" w:rsidRDefault="00C236E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780150" w14:textId="20CEE55D" w:rsidR="00C236E8" w:rsidRPr="00A442A4" w:rsidRDefault="00EC09D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time commitment associated with the role of Chair of Court varies from week to </w:t>
      </w:r>
      <w:proofErr w:type="gramStart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week, but</w:t>
      </w:r>
      <w:proofErr w:type="gramEnd"/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likely to amount</w:t>
      </w:r>
      <w:r w:rsidR="00657F8A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not </w:t>
      </w:r>
      <w:r w:rsidR="00406E45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less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than one day per week </w:t>
      </w:r>
      <w:r w:rsidR="00657F8A"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 average, </w:t>
      </w: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with some additional time at home for reading.</w:t>
      </w:r>
    </w:p>
    <w:p w14:paraId="3C41F514" w14:textId="4963E75E" w:rsidR="00406E45" w:rsidRPr="00A442A4" w:rsidRDefault="00406E4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AFD898" w14:textId="3F50EDD1" w:rsidR="00406E45" w:rsidRPr="00A442A4" w:rsidRDefault="00406E4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2A4">
        <w:rPr>
          <w:rFonts w:asciiTheme="minorHAnsi" w:hAnsiTheme="minorHAnsi" w:cstheme="minorHAnsi"/>
          <w:color w:val="000000" w:themeColor="text1"/>
          <w:sz w:val="22"/>
          <w:szCs w:val="22"/>
        </w:rPr>
        <w:t>The Chair of Court must be available to provide informal support to the Principal and Vice-Chancellor, the University Secretary and members of Court.  There may be occasions when the Chair is required to attend meetings at short notice.</w:t>
      </w:r>
    </w:p>
    <w:p w14:paraId="0FD731A8" w14:textId="77777777" w:rsidR="00C236E8" w:rsidRPr="00A442A4" w:rsidRDefault="00C236E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366F86" w14:textId="77777777" w:rsidR="00EC09DF" w:rsidRPr="00A442A4" w:rsidRDefault="00EC09D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E615107" w14:textId="06155660" w:rsidR="00C236E8" w:rsidRPr="00A442A4" w:rsidRDefault="009C1EB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442A4">
        <w:rPr>
          <w:rFonts w:asciiTheme="minorHAnsi" w:hAnsiTheme="minorHAnsi" w:cstheme="minorHAnsi"/>
          <w:color w:val="000000"/>
          <w:sz w:val="22"/>
          <w:szCs w:val="22"/>
        </w:rPr>
        <w:t>Policy</w:t>
      </w:r>
      <w:r w:rsidR="00AB2532" w:rsidRPr="00A442A4">
        <w:rPr>
          <w:rFonts w:asciiTheme="minorHAnsi" w:hAnsiTheme="minorHAnsi" w:cstheme="minorHAnsi"/>
          <w:color w:val="000000"/>
          <w:sz w:val="22"/>
          <w:szCs w:val="22"/>
        </w:rPr>
        <w:t xml:space="preserve"> &amp;</w:t>
      </w:r>
      <w:r w:rsidRPr="00A442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36E8" w:rsidRPr="00A442A4">
        <w:rPr>
          <w:rFonts w:asciiTheme="minorHAnsi" w:hAnsiTheme="minorHAnsi" w:cstheme="minorHAnsi"/>
          <w:color w:val="000000"/>
          <w:sz w:val="22"/>
          <w:szCs w:val="22"/>
        </w:rPr>
        <w:t>Planning</w:t>
      </w:r>
    </w:p>
    <w:p w14:paraId="0D26F8E7" w14:textId="2F0A1070" w:rsidR="00AB2532" w:rsidRPr="00A442A4" w:rsidRDefault="004D0D27">
      <w:pPr>
        <w:rPr>
          <w:rFonts w:asciiTheme="minorHAnsi" w:hAnsiTheme="minorHAnsi" w:cstheme="minorHAnsi"/>
          <w:sz w:val="22"/>
          <w:szCs w:val="22"/>
        </w:rPr>
      </w:pPr>
      <w:r w:rsidRPr="00A442A4">
        <w:rPr>
          <w:rFonts w:asciiTheme="minorHAnsi" w:hAnsiTheme="minorHAnsi" w:cstheme="minorHAnsi"/>
          <w:color w:val="000000"/>
          <w:sz w:val="22"/>
          <w:szCs w:val="22"/>
        </w:rPr>
        <w:t>August 2024</w:t>
      </w:r>
    </w:p>
    <w:sectPr w:rsidR="00AB2532" w:rsidRPr="00A442A4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26BF" w14:textId="77777777" w:rsidR="00414C66" w:rsidRDefault="00414C66" w:rsidP="00935B9E">
      <w:r>
        <w:separator/>
      </w:r>
    </w:p>
  </w:endnote>
  <w:endnote w:type="continuationSeparator" w:id="0">
    <w:p w14:paraId="5D80A1FA" w14:textId="77777777" w:rsidR="00414C66" w:rsidRDefault="00414C66" w:rsidP="0093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3480" w14:textId="77777777" w:rsidR="0002245F" w:rsidRPr="0002245F" w:rsidRDefault="0002245F">
    <w:pPr>
      <w:pStyle w:val="Footer"/>
      <w:rPr>
        <w:sz w:val="16"/>
        <w:szCs w:val="16"/>
      </w:rPr>
    </w:pPr>
    <w:r w:rsidRPr="0002245F">
      <w:rPr>
        <w:sz w:val="16"/>
        <w:szCs w:val="16"/>
      </w:rPr>
      <w:t>Data Classification: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26B8" w14:textId="77777777" w:rsidR="00414C66" w:rsidRDefault="00414C66" w:rsidP="00935B9E">
      <w:r>
        <w:separator/>
      </w:r>
    </w:p>
  </w:footnote>
  <w:footnote w:type="continuationSeparator" w:id="0">
    <w:p w14:paraId="6978531A" w14:textId="77777777" w:rsidR="00414C66" w:rsidRDefault="00414C66" w:rsidP="00935B9E">
      <w:r>
        <w:continuationSeparator/>
      </w:r>
    </w:p>
  </w:footnote>
  <w:footnote w:id="1">
    <w:p w14:paraId="0EB9A79C" w14:textId="331ACABA" w:rsidR="005B0A54" w:rsidRDefault="005B0A54" w:rsidP="005B0A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2532">
        <w:rPr>
          <w:sz w:val="16"/>
          <w:szCs w:val="16"/>
        </w:rPr>
        <w:t>Scottish Government ‘</w:t>
      </w:r>
      <w:hyperlink r:id="rId1" w:history="1">
        <w:r w:rsidRPr="00123661">
          <w:rPr>
            <w:rStyle w:val="Hyperlink"/>
            <w:sz w:val="16"/>
            <w:szCs w:val="16"/>
          </w:rPr>
          <w:t>Model Code of Conduct for Members of Devolved Public Bodies</w:t>
        </w:r>
      </w:hyperlink>
      <w:r w:rsidR="00123661">
        <w:rPr>
          <w:sz w:val="16"/>
          <w:szCs w:val="16"/>
        </w:rPr>
        <w:t xml:space="preserve">, </w:t>
      </w:r>
      <w:r w:rsidR="002A3A6A">
        <w:rPr>
          <w:sz w:val="16"/>
          <w:szCs w:val="16"/>
        </w:rPr>
        <w:t>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74769"/>
    <w:multiLevelType w:val="hybridMultilevel"/>
    <w:tmpl w:val="82440432"/>
    <w:lvl w:ilvl="0" w:tplc="EF6CA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168A"/>
    <w:multiLevelType w:val="hybridMultilevel"/>
    <w:tmpl w:val="E3C23E7A"/>
    <w:lvl w:ilvl="0" w:tplc="EF6CA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020CB"/>
    <w:multiLevelType w:val="multilevel"/>
    <w:tmpl w:val="A5FEAE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77F48"/>
    <w:multiLevelType w:val="hybridMultilevel"/>
    <w:tmpl w:val="9720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406538">
    <w:abstractNumId w:val="2"/>
  </w:num>
  <w:num w:numId="2" w16cid:durableId="167795832">
    <w:abstractNumId w:val="1"/>
  </w:num>
  <w:num w:numId="3" w16cid:durableId="1878161100">
    <w:abstractNumId w:val="0"/>
  </w:num>
  <w:num w:numId="4" w16cid:durableId="851921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E6"/>
    <w:rsid w:val="00006E65"/>
    <w:rsid w:val="0002245F"/>
    <w:rsid w:val="00077568"/>
    <w:rsid w:val="000948D4"/>
    <w:rsid w:val="00123661"/>
    <w:rsid w:val="00147D09"/>
    <w:rsid w:val="00152645"/>
    <w:rsid w:val="001B30A6"/>
    <w:rsid w:val="001E03B5"/>
    <w:rsid w:val="002810C0"/>
    <w:rsid w:val="002A3A6A"/>
    <w:rsid w:val="002A7828"/>
    <w:rsid w:val="002D3D6F"/>
    <w:rsid w:val="00312F07"/>
    <w:rsid w:val="00333A21"/>
    <w:rsid w:val="003463DE"/>
    <w:rsid w:val="003822B4"/>
    <w:rsid w:val="003B4C21"/>
    <w:rsid w:val="00406E45"/>
    <w:rsid w:val="00414C66"/>
    <w:rsid w:val="004D0D27"/>
    <w:rsid w:val="004D1BF2"/>
    <w:rsid w:val="004D233B"/>
    <w:rsid w:val="004D7450"/>
    <w:rsid w:val="004F5605"/>
    <w:rsid w:val="00542503"/>
    <w:rsid w:val="00561DC1"/>
    <w:rsid w:val="00566716"/>
    <w:rsid w:val="005923DC"/>
    <w:rsid w:val="005B0A54"/>
    <w:rsid w:val="005F5EDD"/>
    <w:rsid w:val="006565A4"/>
    <w:rsid w:val="00657F8A"/>
    <w:rsid w:val="006A40D0"/>
    <w:rsid w:val="006C1270"/>
    <w:rsid w:val="006F524C"/>
    <w:rsid w:val="0072274D"/>
    <w:rsid w:val="00757742"/>
    <w:rsid w:val="007B0BF7"/>
    <w:rsid w:val="007B414E"/>
    <w:rsid w:val="007D5259"/>
    <w:rsid w:val="0085161A"/>
    <w:rsid w:val="008973BF"/>
    <w:rsid w:val="00897851"/>
    <w:rsid w:val="0092505E"/>
    <w:rsid w:val="009274C3"/>
    <w:rsid w:val="00935B9E"/>
    <w:rsid w:val="0099590E"/>
    <w:rsid w:val="009C1EBC"/>
    <w:rsid w:val="009D246A"/>
    <w:rsid w:val="00A17A90"/>
    <w:rsid w:val="00A442A4"/>
    <w:rsid w:val="00A50839"/>
    <w:rsid w:val="00A60296"/>
    <w:rsid w:val="00AB2532"/>
    <w:rsid w:val="00AC79F4"/>
    <w:rsid w:val="00B07435"/>
    <w:rsid w:val="00B97DA6"/>
    <w:rsid w:val="00BB08D7"/>
    <w:rsid w:val="00BC253B"/>
    <w:rsid w:val="00C236E8"/>
    <w:rsid w:val="00C31A2F"/>
    <w:rsid w:val="00C47F89"/>
    <w:rsid w:val="00C97FBF"/>
    <w:rsid w:val="00D0322C"/>
    <w:rsid w:val="00D461D0"/>
    <w:rsid w:val="00D62EE6"/>
    <w:rsid w:val="00DE3C38"/>
    <w:rsid w:val="00E014A7"/>
    <w:rsid w:val="00E56E30"/>
    <w:rsid w:val="00EA3F18"/>
    <w:rsid w:val="00EC09DF"/>
    <w:rsid w:val="00EE0849"/>
    <w:rsid w:val="00F4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FB61E"/>
  <w15:chartTrackingRefBased/>
  <w15:docId w15:val="{3C7BBF39-EEFB-4950-AE9B-484EDD50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E6"/>
    <w:pPr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97FBF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312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5B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5B9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5B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5B9E"/>
    <w:rPr>
      <w:rFonts w:ascii="Arial" w:hAnsi="Arial" w:cs="Arial"/>
    </w:rPr>
  </w:style>
  <w:style w:type="character" w:styleId="CommentReference">
    <w:name w:val="annotation reference"/>
    <w:uiPriority w:val="99"/>
    <w:semiHidden/>
    <w:unhideWhenUsed/>
    <w:rsid w:val="003B4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C21"/>
  </w:style>
  <w:style w:type="character" w:customStyle="1" w:styleId="CommentTextChar">
    <w:name w:val="Comment Text Char"/>
    <w:link w:val="CommentText"/>
    <w:uiPriority w:val="99"/>
    <w:semiHidden/>
    <w:rsid w:val="003B4C2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C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C21"/>
    <w:rPr>
      <w:rFonts w:ascii="Arial" w:hAnsi="Arial" w:cs="Arial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2532"/>
  </w:style>
  <w:style w:type="character" w:customStyle="1" w:styleId="FootnoteTextChar">
    <w:name w:val="Footnote Text Char"/>
    <w:link w:val="FootnoteText"/>
    <w:uiPriority w:val="99"/>
    <w:semiHidden/>
    <w:rsid w:val="00AB2532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AB2532"/>
    <w:rPr>
      <w:vertAlign w:val="superscript"/>
    </w:rPr>
  </w:style>
  <w:style w:type="character" w:styleId="Hyperlink">
    <w:name w:val="Hyperlink"/>
    <w:uiPriority w:val="99"/>
    <w:unhideWhenUsed/>
    <w:rsid w:val="00AB253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B253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442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3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cot/publications/model-code-conduct-members-devolved-public-bodie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3" ma:contentTypeDescription="Create a new document." ma:contentTypeScope="" ma:versionID="cd9f0b9030d84adf506361c9f35e0872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1364c33cba01cfcae91e7fbe80f37c4b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D14EF-C191-4F40-9C64-BC713F0C2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30A3F-40EB-4694-AE76-B8FE8366B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2B1CA-59EC-44CD-A93E-CBD999D473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E3600-13FB-4D98-9BC2-79F3038A1E6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46b3323-a1ee-4a37-8c29-8d71baf7a927}" enabled="1" method="Privilege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Stirling</Company>
  <LinksUpToDate>false</LinksUpToDate>
  <CharactersWithSpaces>7465</CharactersWithSpaces>
  <SharedDoc>false</SharedDoc>
  <HLinks>
    <vt:vector size="6" baseType="variant"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https://www.gov.scot/publications/model-code-conduct-members-devolved-public-bodies/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jm91</dc:creator>
  <cp:keywords/>
  <cp:lastModifiedBy>Roslyn Smith</cp:lastModifiedBy>
  <cp:revision>8</cp:revision>
  <cp:lastPrinted>2015-06-17T10:43:00Z</cp:lastPrinted>
  <dcterms:created xsi:type="dcterms:W3CDTF">2019-07-16T09:18:00Z</dcterms:created>
  <dcterms:modified xsi:type="dcterms:W3CDTF">2025-08-14T09:10:00Z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SIP_Label_946b3323-a1ee-4a37-8c29-8d71baf7a927_Enabled">
    <vt:lpwstr>true</vt:lpwstr>
  </property>
  <property fmtid="{D5CDD505-2E9C-101B-9397-08002B2CF9AE}" pid="4" name="MSIP_Label_946b3323-a1ee-4a37-8c29-8d71baf7a927_SetDate">
    <vt:lpwstr>2022-02-23T13:47:52Z</vt:lpwstr>
  </property>
  <property fmtid="{D5CDD505-2E9C-101B-9397-08002B2CF9AE}" pid="5" name="MSIP_Label_946b3323-a1ee-4a37-8c29-8d71baf7a927_Method">
    <vt:lpwstr>Privileged</vt:lpwstr>
  </property>
  <property fmtid="{D5CDD505-2E9C-101B-9397-08002B2CF9AE}" pid="6" name="MSIP_Label_946b3323-a1ee-4a37-8c29-8d71baf7a927_Name">
    <vt:lpwstr>Public</vt:lpwstr>
  </property>
  <property fmtid="{D5CDD505-2E9C-101B-9397-08002B2CF9AE}" pid="7" name="MSIP_Label_946b3323-a1ee-4a37-8c29-8d71baf7a927_SiteId">
    <vt:lpwstr>4e8d09f7-cc79-4ccb-9149-a4238dd17422</vt:lpwstr>
  </property>
  <property fmtid="{D5CDD505-2E9C-101B-9397-08002B2CF9AE}" pid="8" name="MSIP_Label_946b3323-a1ee-4a37-8c29-8d71baf7a927_ActionId">
    <vt:lpwstr>90a885e4-822e-4201-8e8f-f1679cea56de</vt:lpwstr>
  </property>
  <property fmtid="{D5CDD505-2E9C-101B-9397-08002B2CF9AE}" pid="9" name="MSIP_Label_946b3323-a1ee-4a37-8c29-8d71baf7a927_ContentBits">
    <vt:lpwstr>0</vt:lpwstr>
  </property>
</Properties>
</file>